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Engagement toolkit 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Social media posts inspirations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Iniziativa dei cittadini europei – la democrazia fa un balzo in avanti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Iniziativa dei cittadini europei – idee fresche per chi decide nell'UE 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Iniziativa dei cittadini europei – plasmare la politica europea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Linfa nuova per l’agenda politica dell’Europa con le iniziative dei cittadini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cittadini dell'UE hanno uno strumento per plasmare le politiche che incidono sulla loro vita -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Impegnati nel processo democratico dell'UE mettendo a disposizione le tue idee più interessanti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Appello a tutti i cittadini dell'UE!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Con l'iniziativa dei cittadini europei potete far sentire la vostra voce 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L'iniziativa dei cittadini europei: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il tuo strumento per plasmare la politica dell'UE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Scopri quanto potere hai grazie all'iniziativa dei</w:t>
        <w:cr/>
        <w:br/>
        <w:t xml:space="preserve">cittadini europei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Quanto potere hai?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Hai il potere di plasmare l'Europa!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Bastano 1 milione di cittadini europei per innescare un cambiamento delle politiche dell'UE grazie all'iniziativa dei</w:t>
        <w:cr/>
        <w:br/>
        <w:t xml:space="preserve">cittadini europei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Fai sentire la tua voce.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 - lancia o sostieni un'iniziativa dei cittadini europei!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Vuoi plasmare la politica dell'Unione europea?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Usa l'iniziativa dei cittadini europei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Vuoi affrontare una sfida a livello dell'UE?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Unisciti ad altre voci e fatti sentire dai politici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L'iniziativa dei cittadini europei: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la forza propulsiva del cambiamento a livello europeo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Dal 2012 in poi 9 milioni di cittadini dell'UE hanno sostenuto un'iniziativa </w:t>
      </w:r>
      <w:r>
        <w:rPr>
          <w:color w:val="FF0000"/>
          <w:rFonts w:ascii="Century Gothic" w:hAnsi="Century Gothic"/>
        </w:rPr>
        <w:t xml:space="preserve">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La riforma dell'iniziativa dei cittadini europei significa che è più facile che mai fare sentire la tua voce!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Come cittadino dell’UE hai la possibilità di partecipare direttamente al processo democratico e di avere più voce in capitolo nelle politiche che incidono sulla tua vita.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Usa il tuo potere con l’iniziativa dei cittadini europei!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Hai un'idea su come affrontare un problema che affligge l’Europa, ma ritieni che la tua voce, da sola, non basti per farsi ascoltare?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L'iniziativa dei cittadini europei amplifica la tua voce e ti dà la possibilità di  plasmare la politica dell'UE nei settori in cui la Commissione europea ha la facoltà di proporre un atto legislativo.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Per maggiori informazioni, tra cui un elenco delle iniziative attualmente aperte alla firma: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Quanto potere hai?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Hai il potere di plasmare le politiche dell'UE!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L'iniziativa dei cittadini europei consente ai cittadini di riunirsi per proporre modifiche legislative concrete a favore di una causa comune.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Unisciti a un gruppo di organizzatori per lanciare un'iniziativa, o sostieni un'iniziativa esistente!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Per avviare un'iniziativa dei cittadini europei sono necessari 7 cittadini dell'UE che abbiano l'età per votare e siano residenti in almeno 7 diversi Stati membri.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Basta 1 milione di firme per "mettere in moto" il processo decisionale dell'UE.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Prendi l’iniziativa!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La riforma del diritto d'iniziativa semplifica le procedure per creare, registrare, organizzare e sostenere un'iniziativa dei cittadini europei.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Sarà più facile far sentire la tua voce e plasmare il futuro della politica dell'UE.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Per maggiori informazioni, tra cui un elenco delle iniziative attualmente aperte alla firma: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VIDEOS LINK (5 videos available in 23 EU languages)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it-IT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