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Īpašais materiālu komplekts </w:t>
      </w:r>
      <w:r>
        <w:rPr>
          <w:b/>
          <w:rFonts w:ascii="Century Gothic" w:hAnsi="Century Gothic"/>
        </w:rPr>
        <w:t xml:space="preserve">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Sociālajos tīklos publicētu ziņu paraugi iedvesmai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“TWITTER”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Eiropas pilsoņu iniciatīva – liels solis vēl lielākas demokrātijas virzienā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Eiropas pilsoņu iniciatīva – svaigu ideju avots ES politikas veidotājiem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Eiropas pilsoņu iniciatīva – iespēja veidot ES politiku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Eiropas pilsoņu iniciatīva var iekustināt Eiropas politisko darba kārtību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 pilsoņiem ir rīks, ar ko ietekmēt politikas jomas, no kurām atkarīga viņu ikdiena,  -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Iesaistieties ES demokrātijas procesā un </w:t>
      </w:r>
      <w:r>
        <w:rPr>
          <w:rFonts w:ascii="Century Gothic" w:hAnsi="Century Gothic"/>
        </w:rPr>
        <w:t xml:space="preserve">piedāvājiet </w:t>
      </w:r>
      <w:r>
        <w:rPr>
          <w:rFonts w:ascii="Century Gothic" w:hAnsi="Century Gothic"/>
        </w:rPr>
        <w:t xml:space="preserve">svaigas idejas lēmumu pieņēmējiem! 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Aicinājums visiem ES pilsoņiem!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Ar Eiropas pilsoņu iniciatīvas palīdzību varat panākt, ka jūsu balsi sadzird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Eiropas pilsoņu iniciatīva: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jūsu rīks ES politikas veidošanai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Uzziniet, </w:t>
      </w:r>
      <w:r>
        <w:rPr>
          <w:rFonts w:ascii="Century Gothic" w:hAnsi="Century Gothic"/>
        </w:rPr>
        <w:t xml:space="preserve">kādu ietekmi varat gūt</w:t>
      </w:r>
      <w:r>
        <w:rPr>
          <w:rFonts w:ascii="Century Gothic" w:hAnsi="Century Gothic"/>
        </w:rPr>
        <w:t xml:space="preserve">, īstenojot Eiropas pilsoņu iniciatīvu!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Cik liela vara jums ir?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Jūsu varā ir veidot ES politiku!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Miljons ES pilsoņu ar Eiropas pilsoņu iniciatīvas palīdzību var panākt izmaiņas ES politikā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Panāciet, ka tiekat sadzirdēts!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- nāciet klajā ar Eiropas pilsoņu iniciatīvu vai to atbalstiet!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Vēlaties veidot ES politiku?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Izmantojiet Eiropas pilsoņu iniciatīvu!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Vēlaties risināt kādu problēmu ES līmenī?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Piebalsojiet citiem, lai lēmumu pieņēmēji jūs sadzird!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Eiropas pilsoņu iniciatīva: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izmaiņu dzinējspēks visā Eiropā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Kopš 2012. gada 9 miljoni ES pilsoņu ir atbalstījuši kādu no iniciatīvām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Pateicoties Eiropas pilsoņu iniciatīvas reformai jums būs vieglāk nekā jebkad panākt, ka jūs uzklausa!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“FACEBOOK”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Jums kā ES pilsonim ir iespēja tieši piedalīties demokrātijas procesā un vairāk ietekmēt tos ES politikas aspektus, no kuriem atkarīga jūsu ikdiena.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Izmantojiet varu, kas jums dota ar Eiropas pilsoņu iniciatīvu!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Jums ir ideja, kā Eiropā varētu risināt kādu problēmu, tomēr ir sajūta, ka tikai ar jūsu balsi vien nepietiks, lai jūsos ieklausītos?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Eiropas pilsoņu iniciatīva jūsu balsi dara sadzirdamāku un dod iespēju veidot ES politiku jomās, kurās Komisijai ir pilnvaras ierosināt regulējumu.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Plašāka informācija par Eiropas pilsoņu iniciatīvu (arī to iniciatīvu saraksts, kurām atbalstu var izteikt pašlaik):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Cik liela vara jums ir?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Jūsu varā ir ES politikas veidošana!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Eiropas pilsoņu iniciatīva ir iespēja ES pilsoņiem apvienot spēkus un ierosināt konkrētas regulējuma izmaiņas jautājumos, kas viņiem rūp.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Pievienojieties organizatoriem, lai ierosinātu kādu iniciatīvu, vai paudiet atbalstu kādai no jau ierosinātajām!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Eiropas pilsoņu iniciatīvu var organizēt 7 ES iedzīvotāji, kuri dzīvo vismaz 7 dažādās dalībvalstīs un ir sasnieguši balsstiesību vecumu.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Zaļā gaisma ES politikas veidošanai ieslēdzas, ja ir savākts miljons parakstu.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Izrādiet iniciatīvu!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Pateicoties Eiropas pilsoņu iniciatīvas reformai būs vieglāk izveidot, reģistrēt, organizēt un atbalstīt iniciatīvas.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Jums būs vieglāk nekā jebkad agrāk panākt, ka jūs uzklausa, un veidot ES turpmāko politiku.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Plašāka informācija par Eiropas pilsoņu iniciatīvu (arī to iniciatīvu saraksts, kurām atbalstu var izteikt pašlaik):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 (5 video pieejami 23 ES oficiālajās valodās)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lv-LV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/public/welcome?lg=l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