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Reklameværktøjer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Inspiration til opslag på de sociale medier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Det europæiske borgerinitiativ er et stort demokratisk fremskridt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Det europæiske borgerinitiativ giver nye idéer til EU's beslutningstagere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Det europæiske borgerinitiativ er med til at forme EU's politikker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Giv input til EU's politiske dagsorden med borgerinitiativer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EU-borgerne har et redskab til at påvirke de politikker, der påvirker deres liv – </w:t>
      </w:r>
      <w:r>
        <w:rPr>
          <w:color w:val="FF0000"/>
          <w:rFonts w:ascii="Century Gothic" w:hAnsi="Century Gothic"/>
        </w:rPr>
        <w:t xml:space="preserve"># 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Involvér dig i EU's demokratiske proces, og giv beslutningstagerne nye idéer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Opkald til alle EU-borgere!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Det europæiske borgerinitiativ giver dig en stemme, der bliver hørt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Det europæiske borgerinitiativ: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dit middel til at påvirke EU's politik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ud af, hvor meget magt du har med det europæiske borgerinitiativ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Hvor meget magt har du?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Du har magt til at ændre Europa!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million EU-borgere kan sammen forandre EU's politikker med det europæiske borgerinitiativ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Lad din stemme blive hørt.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Med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kan du starte eller støtte et europæisk borgerinitiativ!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Vil du være med til at skabe EU-politik?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Så brug det europæiske borgerinitiativ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Vil du gerne gøre noget ved et problem på EU-plan?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Så lad beslutningstagerne høre din og andres stemme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Det europæiske borgerinitiativ: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den tværeuropæiske forandringsgenerator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millioner EU-borgere har støttet et borgerinitiativ siden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Reformen af det europæiske borgerinitiativ betyder, at det er blevet lettere at blive hørt!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Som EU-borger har du mulighed for at deltage direkte i den demokratiske proces og få større indflydelse på politikker, der påvirker dit liv.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Brug din magt med det europæiske borgerinitiativ!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Har du en idé til, hvordan man kan løse et problem i Europa, men synes, det er svært at blive hørt alene?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Det europæiske borgerinitiativ forstærker din stemme og giver dig mulighed for at få indflydelse på EU's fremtid på de områder, hvor Kommissionen har beføjelse til at foreslå lovgivning.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Hvis du vil have mere information og se listen over igangværende initiativer, så gå ind på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rStyle w:val="Hyperlink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Hvor meget magt har du?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Du har magt til at ændre EU's politikker!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Med det europæiske borgerinitiativ kan EU-borgerne samles om en fælles sag og foreslå konkrete lovændringer.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Slut dig til en gruppe initiativtagere for at starte et borgerinitiativ, eller støt allerede igangværende initiativer!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For at iværksætte et europæisk borgerinitiativ skal I være 7 EU-borgere fra 7 forskellige EU-lande, og I skal være gamle nok til at stemme.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Med 1 million underskrifter trykker I på startknappen til ændring af EU's politik.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Tag initiativet!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Reformen af det europæiske borgerinitiativ gør det enklere at oprette, registrere, organisere og støtte initiativer.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Det bliver lettere end før at blive hørt og være med til at forme fremtidens EU-politik.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Hvis du vil have mere information og se listen over igangværende initiativer, så gå ind på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rStyle w:val="Hyperlink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LINK TIL VIDEOER (5 videoer på 23 EU-sprog)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da-DK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