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 w:rsidRPr="00290481">
        <w:rPr>
          <w:b/>
          <w:bCs/>
          <w:sz w:val="36"/>
          <w:szCs w:val="36"/>
        </w:rPr>
        <w:t>ECI</w:t>
      </w:r>
      <w:r w:rsidR="00290481" w:rsidRPr="00290481">
        <w:rPr>
          <w:b/>
          <w:bCs/>
          <w:sz w:val="36"/>
          <w:szCs w:val="36"/>
        </w:rPr>
        <w:t xml:space="preserve"> Organiser account:</w:t>
      </w:r>
      <w:r w:rsidRPr="00290481">
        <w:rPr>
          <w:b/>
          <w:bCs/>
          <w:sz w:val="36"/>
          <w:szCs w:val="36"/>
        </w:rPr>
        <w:t xml:space="preserve"> Procedure to create and configure your EU Login account to launch </w:t>
      </w:r>
      <w:r w:rsidR="00290481">
        <w:rPr>
          <w:b/>
          <w:bCs/>
          <w:sz w:val="36"/>
          <w:szCs w:val="36"/>
        </w:rPr>
        <w:t xml:space="preserve">and manage </w:t>
      </w:r>
      <w:r w:rsidRPr="00290481">
        <w:rPr>
          <w:b/>
          <w:bCs/>
          <w:sz w:val="36"/>
          <w:szCs w:val="36"/>
        </w:rPr>
        <w:t>an initiative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  <w:rFonts w:eastAsia="Times New Roman"/>
        </w:rPr>
        <w:t xml:space="preserve">1. </w:t>
      </w:r>
      <w:r>
        <w:rPr>
          <w:rFonts w:eastAsia="Times New Roman"/>
        </w:rPr>
        <w:t>Context</w:t>
      </w:r>
    </w:p>
    <w:p w14:paraId="6983A9A1" w14:textId="0939926E" w:rsidR="00EB7D83" w:rsidRDefault="00C923B2">
      <w:pPr>
        <w:pStyle w:val="NormalWeb"/>
        <w:ind w:left="600"/>
      </w:pPr>
      <w:r>
        <w:t>In order to launch a European Citizens’ Initiative, your first step is to create a</w:t>
      </w:r>
      <w:r w:rsidR="008E43E0">
        <w:t>n</w:t>
      </w:r>
      <w:r>
        <w:t xml:space="preserve"> EU login account</w:t>
      </w:r>
      <w:r w:rsidR="008E43E0">
        <w:t xml:space="preserve"> (if you do not have one yet)</w:t>
      </w:r>
      <w:r>
        <w:t xml:space="preserve">. This account is created with your personal email address and helps you to access the ECI organiser account module where you </w:t>
      </w:r>
      <w:r w:rsidR="008E43E0">
        <w:t xml:space="preserve">can </w:t>
      </w:r>
      <w:r>
        <w:t>manage your initiative.</w:t>
      </w:r>
    </w:p>
    <w:p w14:paraId="7B0F7F65" w14:textId="65698150" w:rsidR="00EB7D83" w:rsidRDefault="008E43E0">
      <w:pPr>
        <w:pStyle w:val="NormalWeb"/>
        <w:ind w:left="600"/>
      </w:pPr>
      <w:r>
        <w:t xml:space="preserve">To </w:t>
      </w:r>
      <w:r w:rsidR="00C923B2">
        <w:t xml:space="preserve">strengthen the security, the authentication process is now based on a </w:t>
      </w:r>
      <w:r w:rsidR="00290481">
        <w:t>two</w:t>
      </w:r>
      <w:r>
        <w:t>-f</w:t>
      </w:r>
      <w:r w:rsidR="00C923B2">
        <w:t>actor authentication</w:t>
      </w:r>
      <w:r>
        <w:t>,</w:t>
      </w:r>
      <w:r w:rsidR="00C923B2">
        <w:t xml:space="preserve"> requiring an extra step after the password authentication. This process requires that you associate your mobile phone </w:t>
      </w:r>
      <w:r w:rsidR="00932036">
        <w:t xml:space="preserve">number </w:t>
      </w:r>
      <w:r w:rsidR="00C923B2">
        <w:t>to your EU login account.</w:t>
      </w:r>
    </w:p>
    <w:p w14:paraId="1C9733D7" w14:textId="1F688ECA" w:rsidR="00EB7D83" w:rsidRDefault="00C923B2">
      <w:pPr>
        <w:pStyle w:val="NormalWeb"/>
        <w:ind w:left="600"/>
      </w:pPr>
      <w:r>
        <w:t xml:space="preserve">The procedure on how to create your EU login account and how to associate your EU login account and your mobile phone </w:t>
      </w:r>
      <w:r w:rsidR="00932036">
        <w:t xml:space="preserve">number </w:t>
      </w:r>
      <w:r>
        <w:t>is described hereafter.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  <w:rFonts w:eastAsia="Times New Roman"/>
        </w:rPr>
        <w:t xml:space="preserve">2. </w:t>
      </w:r>
      <w:r>
        <w:rPr>
          <w:rFonts w:eastAsia="Times New Roman"/>
        </w:rPr>
        <w:t>Creating an EU login account</w:t>
      </w:r>
    </w:p>
    <w:p w14:paraId="45CB8EC4" w14:textId="0A6ABC64" w:rsidR="00EB7D83" w:rsidRDefault="00C923B2">
      <w:pPr>
        <w:pStyle w:val="NormalWeb"/>
        <w:ind w:left="600"/>
      </w:pPr>
      <w:r>
        <w:t xml:space="preserve">After you have decided to create an Organiser account by clicking on the </w:t>
      </w:r>
      <w:r w:rsidR="008E43E0">
        <w:t>‘</w:t>
      </w:r>
      <w:r>
        <w:t>Organiser account</w:t>
      </w:r>
      <w:r w:rsidR="008E43E0">
        <w:t>’</w:t>
      </w:r>
      <w:r>
        <w:t xml:space="preserve"> button ( 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 xml:space="preserve"> )</w:t>
      </w:r>
    </w:p>
    <w:p w14:paraId="2D30D424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E696800" wp14:editId="1CC79DA5">
            <wp:extent cx="248285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you are redirected to the EU login page:</w:t>
      </w:r>
    </w:p>
    <w:p w14:paraId="54EB5C13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lastRenderedPageBreak/>
        <w:drawing>
          <wp:inline distT="0" distB="0" distL="0" distR="0" wp14:anchorId="30F78E05" wp14:editId="24102FCF">
            <wp:extent cx="4457700" cy="1898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2C9A" w14:textId="77777777" w:rsidR="00EB7D83" w:rsidRDefault="00EB7D83">
      <w:pPr>
        <w:pStyle w:val="NormalWeb"/>
        <w:ind w:left="600"/>
      </w:pPr>
    </w:p>
    <w:p w14:paraId="5A13F8C5" w14:textId="48F339B1" w:rsidR="00EB7D83" w:rsidRDefault="00EB7D83">
      <w:pPr>
        <w:pStyle w:val="NormalWeb"/>
        <w:ind w:left="600"/>
      </w:pPr>
    </w:p>
    <w:p w14:paraId="343B95B8" w14:textId="6F2CD3A8" w:rsidR="00EB7D83" w:rsidRDefault="008E43E0">
      <w:pPr>
        <w:pStyle w:val="NormalWeb"/>
        <w:ind w:left="600"/>
      </w:pPr>
      <w:r>
        <w:t xml:space="preserve">If </w:t>
      </w:r>
      <w:r w:rsidR="00C923B2">
        <w:t xml:space="preserve">you do not have an account, please click on the </w:t>
      </w:r>
      <w:r w:rsidR="00C923B2">
        <w:rPr>
          <w:u w:val="single"/>
        </w:rPr>
        <w:t>Create an account</w:t>
      </w:r>
      <w:r w:rsidR="00C923B2">
        <w:rPr>
          <w:rStyle w:val="Strong"/>
        </w:rPr>
        <w:t xml:space="preserve"> </w:t>
      </w:r>
      <w:r w:rsidR="00C923B2">
        <w:t>link (in case you have one</w:t>
      </w:r>
      <w:r>
        <w:t>,</w:t>
      </w:r>
      <w:r w:rsidR="00C923B2">
        <w:t xml:space="preserve"> go to step</w:t>
      </w:r>
      <w:r>
        <w:t xml:space="preserve"> 3</w:t>
      </w:r>
      <w:r w:rsidR="00C923B2">
        <w:t>)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lastRenderedPageBreak/>
        <w:drawing>
          <wp:inline distT="0" distB="0" distL="0" distR="0" wp14:anchorId="1C06D172" wp14:editId="4C9DD390">
            <wp:extent cx="4457700" cy="491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 xml:space="preserve">After you filled all the fields, checked the privacy statement box and clicked on “Create an account” button, </w:t>
      </w:r>
      <w:r w:rsidR="008E43E0">
        <w:t xml:space="preserve">the </w:t>
      </w:r>
      <w:r>
        <w:t>request should be processing</w:t>
      </w:r>
      <w:r w:rsidR="008E43E0">
        <w:t>.</w:t>
      </w:r>
    </w:p>
    <w:p w14:paraId="1B9DAA18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5DCA0A49" wp14:editId="2AF97D98">
            <wp:extent cx="34925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lastRenderedPageBreak/>
        <w:t>When this step is finished, you should receive this message</w:t>
      </w:r>
      <w:r w:rsidR="008E43E0">
        <w:t>:</w:t>
      </w:r>
    </w:p>
    <w:p w14:paraId="53717180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4053F959" wp14:editId="7091AFF5">
            <wp:extent cx="4457700" cy="1593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Go to your email account, open the email received and click on the link</w:t>
      </w:r>
      <w:r w:rsidR="00B362DE">
        <w:t>, to add password</w:t>
      </w:r>
      <w:r w:rsidR="00290481">
        <w:t>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lastRenderedPageBreak/>
        <w:drawing>
          <wp:inline distT="0" distB="0" distL="0" distR="0" wp14:anchorId="6046B266" wp14:editId="1336D48A">
            <wp:extent cx="4457700" cy="3676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  <w:rFonts w:eastAsia="Times New Roman"/>
        </w:rPr>
        <w:t xml:space="preserve">3. </w:t>
      </w:r>
      <w:r>
        <w:rPr>
          <w:rFonts w:eastAsia="Times New Roman"/>
        </w:rPr>
        <w:t>Associating your mobile phone</w:t>
      </w:r>
      <w:r w:rsidR="00932036">
        <w:rPr>
          <w:rFonts w:eastAsia="Times New Roman"/>
        </w:rPr>
        <w:t xml:space="preserve"> number</w:t>
      </w:r>
      <w:r>
        <w:rPr>
          <w:rFonts w:eastAsia="Times New Roman"/>
        </w:rPr>
        <w:t xml:space="preserve"> to your EU login account</w:t>
      </w:r>
    </w:p>
    <w:p w14:paraId="07D67847" w14:textId="2BF6107F" w:rsidR="00EB7D83" w:rsidRDefault="00C923B2">
      <w:pPr>
        <w:pStyle w:val="NormalWeb"/>
        <w:ind w:left="600"/>
      </w:pPr>
      <w:r>
        <w:t xml:space="preserve">Once your EU login account has been created, you will need to associate your mobile phone </w:t>
      </w:r>
      <w:r w:rsidR="00290481">
        <w:t xml:space="preserve">number </w:t>
      </w:r>
      <w:r>
        <w:t xml:space="preserve">to it to go through the </w:t>
      </w:r>
      <w:r w:rsidR="00290481">
        <w:t>two</w:t>
      </w:r>
      <w:r w:rsidR="008E43E0">
        <w:t>-</w:t>
      </w:r>
      <w:r w:rsidR="00290481">
        <w:t>f</w:t>
      </w:r>
      <w:r>
        <w:t xml:space="preserve">actor </w:t>
      </w:r>
      <w:r w:rsidR="00290481">
        <w:t>a</w:t>
      </w:r>
      <w:r>
        <w:t>uthentication.</w:t>
      </w:r>
    </w:p>
    <w:p w14:paraId="49D0E261" w14:textId="654883AA" w:rsidR="00EB7D83" w:rsidRDefault="00C923B2">
      <w:pPr>
        <w:pStyle w:val="NormalWeb"/>
        <w:ind w:left="600"/>
      </w:pPr>
      <w:r>
        <w:t xml:space="preserve">The procedure on how to associate a mobile phone </w:t>
      </w:r>
      <w:r w:rsidR="00932036">
        <w:t xml:space="preserve">number </w:t>
      </w:r>
      <w:r>
        <w:t xml:space="preserve">to your EU login account is described </w:t>
      </w:r>
      <w:r w:rsidR="00932036">
        <w:t xml:space="preserve">(in English) </w:t>
      </w:r>
      <w:r>
        <w:t xml:space="preserve">in the EU login tutorial accessible </w:t>
      </w:r>
      <w:r w:rsidR="008E43E0">
        <w:t xml:space="preserve">on </w:t>
      </w:r>
      <w:r>
        <w:t xml:space="preserve">the following </w:t>
      </w:r>
      <w:r w:rsidR="008E43E0">
        <w:t>page</w:t>
      </w:r>
      <w:r>
        <w:t>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To start, please look at the following section from the EU login tutorial</w:t>
      </w:r>
      <w:r w:rsidR="00B362DE">
        <w:t>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rFonts w:eastAsia="Times New Roman"/>
          <w:b/>
          <w:bCs/>
        </w:rPr>
        <w:t xml:space="preserve">page </w:t>
      </w:r>
      <w:r w:rsidR="00932036">
        <w:rPr>
          <w:rStyle w:val="markedcontent"/>
          <w:rFonts w:eastAsia="Times New Roman"/>
          <w:b/>
          <w:bCs/>
        </w:rPr>
        <w:t>24</w:t>
      </w:r>
      <w:r>
        <w:rPr>
          <w:rStyle w:val="markedcontent"/>
          <w:rFonts w:eastAsia="Times New Roman"/>
          <w:b/>
          <w:bCs/>
        </w:rPr>
        <w:t>: Register a mobile phone number for receiving verification SMS.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 xml:space="preserve">Note that </w:t>
      </w:r>
      <w:r w:rsidR="00B362DE">
        <w:rPr>
          <w:rStyle w:val="markedcontent"/>
        </w:rPr>
        <w:t>if you</w:t>
      </w:r>
      <w:r>
        <w:rPr>
          <w:rStyle w:val="markedcontent"/>
        </w:rPr>
        <w:t xml:space="preserve"> completed the registration of your </w:t>
      </w:r>
      <w:r w:rsidR="00932036">
        <w:rPr>
          <w:rStyle w:val="markedcontent"/>
        </w:rPr>
        <w:t xml:space="preserve">mobile </w:t>
      </w:r>
      <w:r>
        <w:rPr>
          <w:rStyle w:val="markedcontent"/>
        </w:rPr>
        <w:t>phone number</w:t>
      </w:r>
      <w:r w:rsidR="00B362DE">
        <w:rPr>
          <w:rStyle w:val="markedcontent"/>
        </w:rPr>
        <w:t>,</w:t>
      </w:r>
      <w:r>
        <w:rPr>
          <w:rStyle w:val="markedcontent"/>
        </w:rPr>
        <w:t xml:space="preserve"> </w:t>
      </w:r>
      <w:r w:rsidR="003F0313">
        <w:rPr>
          <w:rStyle w:val="markedcontent"/>
        </w:rPr>
        <w:t xml:space="preserve">it </w:t>
      </w:r>
      <w:r>
        <w:rPr>
          <w:rStyle w:val="markedcontent"/>
        </w:rPr>
        <w:t>should already be sufficient to authenticate using the method Mobile Phone + SMS</w:t>
      </w:r>
    </w:p>
    <w:p w14:paraId="12F799DF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lastRenderedPageBreak/>
        <w:drawing>
          <wp:inline distT="0" distB="0" distL="0" distR="0" wp14:anchorId="398471AC" wp14:editId="2909AE86">
            <wp:extent cx="4457700" cy="447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However</w:t>
      </w:r>
      <w:r w:rsidR="008E43E0">
        <w:rPr>
          <w:rStyle w:val="markedcontent"/>
        </w:rPr>
        <w:t>,</w:t>
      </w:r>
      <w:r>
        <w:rPr>
          <w:rStyle w:val="markedcontent"/>
        </w:rPr>
        <w:t xml:space="preserve"> if you </w:t>
      </w:r>
      <w:bookmarkStart w:id="0" w:name="_Hlk120260652"/>
      <w:r w:rsidR="00B362DE">
        <w:rPr>
          <w:rStyle w:val="markedcontent"/>
        </w:rPr>
        <w:t xml:space="preserve">wish </w:t>
      </w:r>
      <w:r w:rsidR="008E43E0">
        <w:rPr>
          <w:rStyle w:val="markedcontent"/>
        </w:rPr>
        <w:t>to use</w:t>
      </w:r>
      <w:r>
        <w:rPr>
          <w:rStyle w:val="markedcontent"/>
        </w:rPr>
        <w:t xml:space="preserve"> other</w:t>
      </w:r>
      <w:r w:rsidR="008E43E0">
        <w:rPr>
          <w:rStyle w:val="markedcontent"/>
        </w:rPr>
        <w:t xml:space="preserve"> </w:t>
      </w:r>
      <w:bookmarkEnd w:id="0"/>
      <w:r>
        <w:rPr>
          <w:rStyle w:val="markedcontent"/>
        </w:rPr>
        <w:t>authentication methods</w:t>
      </w:r>
      <w:r w:rsidR="003F0313">
        <w:rPr>
          <w:rStyle w:val="markedcontent"/>
        </w:rPr>
        <w:t>, faster</w:t>
      </w:r>
      <w:r>
        <w:rPr>
          <w:rStyle w:val="markedcontent"/>
        </w:rPr>
        <w:t xml:space="preserve"> than the SMS, please go to the section </w:t>
      </w:r>
      <w:r w:rsidR="008E43E0">
        <w:rPr>
          <w:rStyle w:val="markedcontent"/>
        </w:rPr>
        <w:t>’</w:t>
      </w:r>
      <w:r>
        <w:rPr>
          <w:rStyle w:val="markedcontent"/>
        </w:rPr>
        <w:t>Install and initialise the EU Login Mobile App</w:t>
      </w:r>
      <w:r w:rsidR="00B362DE">
        <w:rPr>
          <w:rStyle w:val="markedcontent"/>
        </w:rPr>
        <w:t>’: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rFonts w:eastAsia="Times New Roman"/>
          <w:b/>
          <w:bCs/>
        </w:rPr>
        <w:t xml:space="preserve">page </w:t>
      </w:r>
      <w:r w:rsidR="00932036">
        <w:rPr>
          <w:rStyle w:val="markedcontent"/>
          <w:rFonts w:eastAsia="Times New Roman"/>
          <w:b/>
          <w:bCs/>
        </w:rPr>
        <w:t>20</w:t>
      </w:r>
      <w:r>
        <w:rPr>
          <w:rStyle w:val="markedcontent"/>
          <w:rFonts w:eastAsia="Times New Roman"/>
          <w:b/>
          <w:bCs/>
        </w:rPr>
        <w:t>: Install and initialise the EU Login Mobile App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You will then be able to log in either using the push notification or the EU login Mobile App QR Code</w:t>
      </w:r>
    </w:p>
    <w:p w14:paraId="437FFB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737918C1" wp14:editId="07B7884C">
            <wp:extent cx="2781300" cy="139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C0D6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lastRenderedPageBreak/>
        <w:drawing>
          <wp:inline distT="0" distB="0" distL="0" distR="0" wp14:anchorId="26F4798B" wp14:editId="0BE78A3D">
            <wp:extent cx="2971800" cy="215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A285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4CAEF73D" wp14:editId="6F4FB806">
            <wp:extent cx="3048000" cy="2197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Link to the EU Login account configuration</w:t>
      </w:r>
    </w:p>
    <w:p w14:paraId="746A14F9" w14:textId="7E861FC4" w:rsidR="00EB7D83" w:rsidRDefault="00C923B2">
      <w:pPr>
        <w:pStyle w:val="NormalWeb"/>
        <w:ind w:left="600"/>
        <w:divId w:val="1073507667"/>
      </w:pPr>
      <w:r>
        <w:t>At any moment you can click on this link to connect to your EU login account: </w:t>
      </w:r>
      <w:hyperlink r:id="rId20" w:history="1">
        <w:r w:rsidR="00932036">
          <w:rPr>
            <w:rStyle w:val="Hyperlink"/>
            <w:lang w:val="en-US"/>
          </w:rPr>
          <w:t>https://webgate.ec.europa.eu/cas/userdata/myAccount.cgi</w:t>
        </w:r>
      </w:hyperlink>
      <w:r w:rsidR="00932036">
        <w:rPr>
          <w:lang w:val="en-US"/>
        </w:rP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 xml:space="preserve">The EU login account </w:t>
      </w:r>
      <w:r w:rsidR="00932036">
        <w:t>tutorial (in English)</w:t>
      </w:r>
      <w:r>
        <w:t xml:space="preserve"> is available here: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D05A3"/>
    <w:rsid w:val="003F0313"/>
    <w:rsid w:val="005E0E76"/>
    <w:rsid w:val="00762C55"/>
    <w:rsid w:val="008A5EF9"/>
    <w:rsid w:val="008E43E0"/>
    <w:rsid w:val="0092604C"/>
    <w:rsid w:val="00932036"/>
    <w:rsid w:val="00AF3D0B"/>
    <w:rsid w:val="00B033AC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450</Words>
  <Characters>2672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WALENTYNOWICZ Barbara (SG)</cp:lastModifiedBy>
  <cp:revision>5</cp:revision>
  <dcterms:created xsi:type="dcterms:W3CDTF">2022-12-02T10:38:00Z</dcterms:created>
  <dcterms:modified xsi:type="dcterms:W3CDTF">2022-12-13T09:57:00Z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