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7AB7D" w14:textId="40705063" w:rsidR="00EB7D83" w:rsidRPr="00290481" w:rsidRDefault="00C923B2" w:rsidP="00A9008F">
      <w:pPr>
        <w:pStyle w:val="NormalWeb"/>
        <w:rPr>
          <w:b/>
          <w:bCs/>
          <w:sz w:val="36"/>
          <w:szCs w:val="36"/>
        </w:rPr>
      </w:pPr>
      <w:r>
        <w:rPr>
          <w:b/>
          <w:sz w:val="36"/>
        </w:rPr>
        <w:t xml:space="preserve">Cuenta del organizador de la ICE: procedimiento para crear y configurar su cuenta EU </w:t>
      </w:r>
      <w:proofErr w:type="spellStart"/>
      <w:r>
        <w:rPr>
          <w:b/>
          <w:sz w:val="36"/>
        </w:rPr>
        <w:t>Login</w:t>
      </w:r>
      <w:proofErr w:type="spellEnd"/>
      <w:r>
        <w:rPr>
          <w:b/>
          <w:sz w:val="36"/>
        </w:rPr>
        <w:t xml:space="preserve"> a fin de poner en marcha y gestionar una iniciativa</w:t>
      </w:r>
    </w:p>
    <w:p w14:paraId="0A9AA39E" w14:textId="77777777" w:rsidR="00EB7D83" w:rsidRDefault="00C923B2">
      <w:pPr>
        <w:pStyle w:val="Heading1"/>
        <w:rPr>
          <w:rFonts w:eastAsia="Times New Roman"/>
        </w:rPr>
      </w:pPr>
      <w:r>
        <w:rPr>
          <w:rStyle w:val="nh-number"/>
        </w:rPr>
        <w:t xml:space="preserve">1. </w:t>
      </w:r>
      <w:r>
        <w:t>Contexto</w:t>
      </w:r>
    </w:p>
    <w:p w14:paraId="6983A9A1" w14:textId="0939926E" w:rsidR="00EB7D83" w:rsidRDefault="00C923B2">
      <w:pPr>
        <w:pStyle w:val="NormalWeb"/>
        <w:ind w:left="600"/>
      </w:pPr>
      <w:r>
        <w:t xml:space="preserve">Para poner en marcha una iniciativa ciudadana europea, el primer paso es crear una cuenta EU </w:t>
      </w:r>
      <w:proofErr w:type="spellStart"/>
      <w:r>
        <w:t>Login</w:t>
      </w:r>
      <w:proofErr w:type="spellEnd"/>
      <w:r>
        <w:t xml:space="preserve"> (si todavía no la tiene). Esta cuenta se crea con su dirección de correo electrónico personal y le ayuda a acceder al módulo de la cuenta de organizador de la ICE, donde puede gestionar su iniciativa.</w:t>
      </w:r>
    </w:p>
    <w:p w14:paraId="7B0F7F65" w14:textId="65698150" w:rsidR="00EB7D83" w:rsidRDefault="008E43E0">
      <w:pPr>
        <w:pStyle w:val="NormalWeb"/>
        <w:ind w:left="600"/>
      </w:pPr>
      <w:r>
        <w:t xml:space="preserve">Para reforzar la seguridad, el proceso de autenticación se basa ahora en una autenticación de doble factor, que requiere un paso adicional una vez introducida la contraseña. Para ello debe asociar primero su número de teléfono móvil a su cuenta EU </w:t>
      </w:r>
      <w:proofErr w:type="spellStart"/>
      <w:r>
        <w:t>Login</w:t>
      </w:r>
      <w:proofErr w:type="spellEnd"/>
      <w:r>
        <w:t>.</w:t>
      </w:r>
    </w:p>
    <w:p w14:paraId="1C9733D7" w14:textId="1F688ECA" w:rsidR="00EB7D83" w:rsidRDefault="00C923B2">
      <w:pPr>
        <w:pStyle w:val="NormalWeb"/>
        <w:ind w:left="600"/>
      </w:pPr>
      <w:r>
        <w:t xml:space="preserve">A continuación, se describe el procedimiento para crear una cuenta EU </w:t>
      </w:r>
      <w:proofErr w:type="spellStart"/>
      <w:r>
        <w:t>Login</w:t>
      </w:r>
      <w:proofErr w:type="spellEnd"/>
      <w:r>
        <w:t xml:space="preserve"> y se explica cómo asociar la cuenta EU </w:t>
      </w:r>
      <w:proofErr w:type="spellStart"/>
      <w:r>
        <w:t>Login</w:t>
      </w:r>
      <w:proofErr w:type="spellEnd"/>
      <w:r>
        <w:t xml:space="preserve"> a un número de teléfono móvil.</w:t>
      </w:r>
    </w:p>
    <w:p w14:paraId="6FAC732E" w14:textId="132A7CF9" w:rsidR="00EB7D83" w:rsidRDefault="00C923B2">
      <w:pPr>
        <w:pStyle w:val="Heading1"/>
        <w:rPr>
          <w:rFonts w:eastAsia="Times New Roman"/>
        </w:rPr>
      </w:pPr>
      <w:r>
        <w:rPr>
          <w:rStyle w:val="nh-number"/>
        </w:rPr>
        <w:t xml:space="preserve">2. </w:t>
      </w:r>
      <w:r>
        <w:t xml:space="preserve">Crear una cuenta EU </w:t>
      </w:r>
      <w:proofErr w:type="spellStart"/>
      <w:r>
        <w:t>Login</w:t>
      </w:r>
      <w:proofErr w:type="spellEnd"/>
    </w:p>
    <w:p w14:paraId="45CB8EC4" w14:textId="0A6ABC64" w:rsidR="00EB7D83" w:rsidRDefault="00C923B2">
      <w:pPr>
        <w:pStyle w:val="NormalWeb"/>
        <w:ind w:left="600"/>
      </w:pPr>
      <w:r>
        <w:t>Una vez que haya decidido crear una cuenta de organizador pulsando el botón «Cuenta de organizador» (</w:t>
      </w:r>
      <w:hyperlink r:id="rId7" w:history="1">
        <w:r>
          <w:rPr>
            <w:rStyle w:val="Strong"/>
            <w:color w:val="0000FF"/>
            <w:u w:val="single"/>
          </w:rPr>
          <w:t>https://register.eci.ec.europa.eu/organisers</w:t>
        </w:r>
      </w:hyperlink>
      <w:r>
        <w:t>),</w:t>
      </w:r>
    </w:p>
    <w:p w14:paraId="2D30D424" w14:textId="2FC04259" w:rsidR="00EB7D83" w:rsidRDefault="001C5EB5">
      <w:pPr>
        <w:pStyle w:val="NormalWeb"/>
        <w:ind w:left="600"/>
      </w:pPr>
      <w:r>
        <w:rPr>
          <w:noProof/>
        </w:rPr>
        <w:drawing>
          <wp:inline distT="0" distB="0" distL="0" distR="0" wp14:anchorId="7DBE0E4B" wp14:editId="75E540D7">
            <wp:extent cx="1619250" cy="4617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47858" cy="469897"/>
                    </a:xfrm>
                    <a:prstGeom prst="rect">
                      <a:avLst/>
                    </a:prstGeom>
                  </pic:spPr>
                </pic:pic>
              </a:graphicData>
            </a:graphic>
          </wp:inline>
        </w:drawing>
      </w:r>
    </w:p>
    <w:p w14:paraId="454721E0" w14:textId="77777777" w:rsidR="00EB7D83" w:rsidRDefault="00C923B2">
      <w:pPr>
        <w:pStyle w:val="NormalWeb"/>
        <w:ind w:left="600"/>
      </w:pPr>
      <w:r>
        <w:t xml:space="preserve">el sistema le redirigirá a la página de EU </w:t>
      </w:r>
      <w:proofErr w:type="spellStart"/>
      <w:r>
        <w:t>Login</w:t>
      </w:r>
      <w:proofErr w:type="spellEnd"/>
      <w:r>
        <w:t>:</w:t>
      </w:r>
    </w:p>
    <w:p w14:paraId="5A13F8C5" w14:textId="6618B6CD" w:rsidR="00EB7D83" w:rsidRDefault="00A9008F" w:rsidP="00A9008F">
      <w:pPr>
        <w:pStyle w:val="NormalWeb"/>
        <w:ind w:left="600"/>
      </w:pPr>
      <w:r>
        <w:rPr>
          <w:noProof/>
        </w:rPr>
        <w:drawing>
          <wp:inline distT="0" distB="0" distL="0" distR="0" wp14:anchorId="2D6B6B4F" wp14:editId="0475404B">
            <wp:extent cx="2971165" cy="2280543"/>
            <wp:effectExtent l="0" t="0" r="635"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88065" cy="2293514"/>
                    </a:xfrm>
                    <a:prstGeom prst="rect">
                      <a:avLst/>
                    </a:prstGeom>
                  </pic:spPr>
                </pic:pic>
              </a:graphicData>
            </a:graphic>
          </wp:inline>
        </w:drawing>
      </w:r>
      <w:r w:rsidR="00BE07B9">
        <w:t xml:space="preserve"> </w:t>
      </w:r>
    </w:p>
    <w:p w14:paraId="343B95B8" w14:textId="6F2CD3A8" w:rsidR="00EB7D83" w:rsidRDefault="008E43E0">
      <w:pPr>
        <w:pStyle w:val="NormalWeb"/>
        <w:ind w:left="600"/>
      </w:pPr>
      <w:r>
        <w:lastRenderedPageBreak/>
        <w:t>Si no tiene cuenta, haga clic en el enlace</w:t>
      </w:r>
      <w:r>
        <w:rPr>
          <w:rStyle w:val="Strong"/>
        </w:rPr>
        <w:t xml:space="preserve"> </w:t>
      </w:r>
      <w:r>
        <w:rPr>
          <w:u w:val="single"/>
        </w:rPr>
        <w:t>Crear una cuenta</w:t>
      </w:r>
      <w:r>
        <w:t xml:space="preserve"> (si ya tiene una cuenta, vaya al paso 3).</w:t>
      </w:r>
    </w:p>
    <w:p w14:paraId="6CEB746E" w14:textId="77777777" w:rsidR="00EB7D83" w:rsidRDefault="00EB7D83">
      <w:pPr>
        <w:pStyle w:val="NormalWeb"/>
        <w:ind w:left="600"/>
      </w:pPr>
    </w:p>
    <w:p w14:paraId="1FDE8FD5" w14:textId="676F011F" w:rsidR="00EB7D83" w:rsidRDefault="004D2203">
      <w:pPr>
        <w:pStyle w:val="NormalWeb"/>
        <w:ind w:left="600"/>
      </w:pPr>
      <w:r>
        <w:rPr>
          <w:noProof/>
        </w:rPr>
        <w:drawing>
          <wp:inline distT="0" distB="0" distL="0" distR="0" wp14:anchorId="288AFB33" wp14:editId="5EEB95B1">
            <wp:extent cx="4638675" cy="518965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41326" cy="5192623"/>
                    </a:xfrm>
                    <a:prstGeom prst="rect">
                      <a:avLst/>
                    </a:prstGeom>
                  </pic:spPr>
                </pic:pic>
              </a:graphicData>
            </a:graphic>
          </wp:inline>
        </w:drawing>
      </w:r>
    </w:p>
    <w:p w14:paraId="3BDCAB1F" w14:textId="25C0C6C0" w:rsidR="00EB7D83" w:rsidRDefault="00C923B2">
      <w:pPr>
        <w:pStyle w:val="NormalWeb"/>
        <w:ind w:left="600"/>
      </w:pPr>
      <w:r>
        <w:t>Después de rellenar todos los campos, marcar la casilla de la declaración de privacidad y pulsar el botón «Crear una cuenta», la solicitud debería tramitarse.</w:t>
      </w:r>
    </w:p>
    <w:p w14:paraId="1B9DAA18" w14:textId="4C8F994A" w:rsidR="00EB7D83" w:rsidRDefault="009E18D6">
      <w:pPr>
        <w:pStyle w:val="NormalWeb"/>
        <w:ind w:left="600"/>
      </w:pPr>
      <w:r>
        <w:rPr>
          <w:noProof/>
        </w:rPr>
        <w:lastRenderedPageBreak/>
        <w:drawing>
          <wp:inline distT="0" distB="0" distL="0" distR="0" wp14:anchorId="3BF88D11" wp14:editId="49488F34">
            <wp:extent cx="2924175" cy="18192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24175" cy="1819275"/>
                    </a:xfrm>
                    <a:prstGeom prst="rect">
                      <a:avLst/>
                    </a:prstGeom>
                  </pic:spPr>
                </pic:pic>
              </a:graphicData>
            </a:graphic>
          </wp:inline>
        </w:drawing>
      </w:r>
    </w:p>
    <w:p w14:paraId="7D3A7614" w14:textId="77777777" w:rsidR="00EB7D83" w:rsidRDefault="00EB7D83">
      <w:pPr>
        <w:pStyle w:val="NormalWeb"/>
        <w:ind w:left="600"/>
      </w:pPr>
    </w:p>
    <w:p w14:paraId="46D0CDBC" w14:textId="12D24651" w:rsidR="00EB7D83" w:rsidRDefault="00C923B2">
      <w:pPr>
        <w:pStyle w:val="NormalWeb"/>
        <w:ind w:left="600"/>
      </w:pPr>
      <w:r>
        <w:t>Una vez finalizado este paso, debería recibir este mensaje:</w:t>
      </w:r>
    </w:p>
    <w:p w14:paraId="53717180" w14:textId="0825E34F" w:rsidR="00EB7D83" w:rsidRDefault="009E18D6">
      <w:pPr>
        <w:pStyle w:val="NormalWeb"/>
        <w:ind w:left="600"/>
      </w:pPr>
      <w:r>
        <w:rPr>
          <w:noProof/>
        </w:rPr>
        <w:drawing>
          <wp:inline distT="0" distB="0" distL="0" distR="0" wp14:anchorId="308DF616" wp14:editId="5DFB9070">
            <wp:extent cx="4457700" cy="1707046"/>
            <wp:effectExtent l="0" t="0" r="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483322" cy="1716858"/>
                    </a:xfrm>
                    <a:prstGeom prst="rect">
                      <a:avLst/>
                    </a:prstGeom>
                  </pic:spPr>
                </pic:pic>
              </a:graphicData>
            </a:graphic>
          </wp:inline>
        </w:drawing>
      </w:r>
    </w:p>
    <w:p w14:paraId="421C0AED" w14:textId="6F956AD2" w:rsidR="00EB7D83" w:rsidRDefault="00C923B2">
      <w:pPr>
        <w:pStyle w:val="NormalWeb"/>
        <w:ind w:left="600"/>
      </w:pPr>
      <w:r>
        <w:t>Vaya a su cuenta de correo electrónico, abra el correo electrónico recibido y haga clic en el enlace para añadir la contraseña.</w:t>
      </w:r>
    </w:p>
    <w:p w14:paraId="48DBEE41" w14:textId="77777777" w:rsidR="00EB7D83" w:rsidRDefault="00C923B2">
      <w:pPr>
        <w:pStyle w:val="NormalWeb"/>
        <w:ind w:left="600"/>
      </w:pPr>
      <w:r>
        <w:rPr>
          <w:noProof/>
          <w:lang w:val="en-US" w:eastAsia="en-US"/>
        </w:rPr>
        <w:drawing>
          <wp:inline distT="0" distB="0" distL="0" distR="0" wp14:anchorId="20184809" wp14:editId="5E9048D3">
            <wp:extent cx="4457700" cy="19748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57700" cy="1974850"/>
                    </a:xfrm>
                    <a:prstGeom prst="rect">
                      <a:avLst/>
                    </a:prstGeom>
                    <a:noFill/>
                    <a:ln>
                      <a:noFill/>
                    </a:ln>
                  </pic:spPr>
                </pic:pic>
              </a:graphicData>
            </a:graphic>
          </wp:inline>
        </w:drawing>
      </w:r>
    </w:p>
    <w:p w14:paraId="38500A62" w14:textId="77777777" w:rsidR="00EB7D83" w:rsidRDefault="00EB7D83">
      <w:pPr>
        <w:pStyle w:val="NormalWeb"/>
        <w:ind w:left="600"/>
      </w:pPr>
    </w:p>
    <w:p w14:paraId="71AB121D" w14:textId="5CA83D47" w:rsidR="00EB7D83" w:rsidRDefault="0032188F">
      <w:pPr>
        <w:pStyle w:val="NormalWeb"/>
        <w:ind w:left="600"/>
      </w:pPr>
      <w:r>
        <w:rPr>
          <w:noProof/>
        </w:rPr>
        <w:lastRenderedPageBreak/>
        <w:drawing>
          <wp:inline distT="0" distB="0" distL="0" distR="0" wp14:anchorId="3D43AC1A" wp14:editId="106011F5">
            <wp:extent cx="3262479" cy="39243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269653" cy="3932930"/>
                    </a:xfrm>
                    <a:prstGeom prst="rect">
                      <a:avLst/>
                    </a:prstGeom>
                  </pic:spPr>
                </pic:pic>
              </a:graphicData>
            </a:graphic>
          </wp:inline>
        </w:drawing>
      </w:r>
    </w:p>
    <w:p w14:paraId="4AE2CB6F" w14:textId="77777777" w:rsidR="00EB7D83" w:rsidRDefault="00EB7D83">
      <w:pPr>
        <w:pStyle w:val="NormalWeb"/>
        <w:ind w:left="600"/>
      </w:pPr>
    </w:p>
    <w:p w14:paraId="79A3468D" w14:textId="35F911B2" w:rsidR="00EB7D83" w:rsidRDefault="00C923B2">
      <w:pPr>
        <w:pStyle w:val="Heading1"/>
        <w:rPr>
          <w:rFonts w:eastAsia="Times New Roman"/>
        </w:rPr>
      </w:pPr>
      <w:r>
        <w:rPr>
          <w:rStyle w:val="nh-number"/>
        </w:rPr>
        <w:t xml:space="preserve">3. </w:t>
      </w:r>
      <w:r>
        <w:t xml:space="preserve">Asociar su número de teléfono móvil a su cuenta EU </w:t>
      </w:r>
      <w:proofErr w:type="spellStart"/>
      <w:r>
        <w:t>Login</w:t>
      </w:r>
      <w:proofErr w:type="spellEnd"/>
    </w:p>
    <w:p w14:paraId="07D67847" w14:textId="2BF6107F" w:rsidR="00EB7D83" w:rsidRDefault="00C923B2">
      <w:pPr>
        <w:pStyle w:val="NormalWeb"/>
        <w:ind w:left="600"/>
      </w:pPr>
      <w:r>
        <w:t xml:space="preserve">Una vez creada la cuenta EU </w:t>
      </w:r>
      <w:proofErr w:type="spellStart"/>
      <w:r>
        <w:t>Login</w:t>
      </w:r>
      <w:proofErr w:type="spellEnd"/>
      <w:r>
        <w:t>, tendrá que asociar a ella su número de teléfono móvil para proceder a la autenticación de doble factor.</w:t>
      </w:r>
    </w:p>
    <w:p w14:paraId="49D0E261" w14:textId="654883AA" w:rsidR="00EB7D83" w:rsidRDefault="00C923B2">
      <w:pPr>
        <w:pStyle w:val="NormalWeb"/>
        <w:ind w:left="600"/>
      </w:pPr>
      <w:r>
        <w:t xml:space="preserve">El procedimiento para asociar un número de teléfono móvil a su cuenta EU </w:t>
      </w:r>
      <w:proofErr w:type="spellStart"/>
      <w:r>
        <w:t>Login</w:t>
      </w:r>
      <w:proofErr w:type="spellEnd"/>
      <w:r>
        <w:t xml:space="preserve"> se describe (en inglés) en el tutorial de EU </w:t>
      </w:r>
      <w:proofErr w:type="spellStart"/>
      <w:r>
        <w:t>Login</w:t>
      </w:r>
      <w:proofErr w:type="spellEnd"/>
      <w:r>
        <w:t xml:space="preserve"> disponible en la siguiente página: </w:t>
      </w:r>
      <w:hyperlink r:id="rId15" w:history="1">
        <w:r>
          <w:rPr>
            <w:rStyle w:val="Hyperlink"/>
          </w:rPr>
          <w:t>https://webgate.ec.europa.eu/cas/manuals/EU_Login_Tutorial.pdf</w:t>
        </w:r>
      </w:hyperlink>
    </w:p>
    <w:p w14:paraId="6D8991FB" w14:textId="2E6966AA" w:rsidR="00EB7D83" w:rsidRDefault="00C923B2">
      <w:pPr>
        <w:pStyle w:val="NormalWeb"/>
        <w:ind w:left="600"/>
      </w:pPr>
      <w:r>
        <w:t xml:space="preserve">Para empezar, consulte la sección siguiente del tutorial de EU </w:t>
      </w:r>
      <w:proofErr w:type="spellStart"/>
      <w:r>
        <w:t>Login</w:t>
      </w:r>
      <w:proofErr w:type="spellEnd"/>
      <w:r>
        <w:t>:</w:t>
      </w:r>
    </w:p>
    <w:p w14:paraId="3CC8ED26" w14:textId="0C892C5A" w:rsidR="00EB7D83" w:rsidRDefault="00C923B2">
      <w:pPr>
        <w:numPr>
          <w:ilvl w:val="1"/>
          <w:numId w:val="1"/>
        </w:numPr>
        <w:spacing w:before="100" w:beforeAutospacing="1" w:after="100" w:afterAutospacing="1"/>
        <w:rPr>
          <w:rFonts w:eastAsia="Times New Roman"/>
        </w:rPr>
      </w:pPr>
      <w:r>
        <w:rPr>
          <w:rStyle w:val="markedcontent"/>
          <w:b/>
        </w:rPr>
        <w:t>página 24: Registrar un número de teléfono móvil p</w:t>
      </w:r>
      <w:r w:rsidR="002A52C8">
        <w:rPr>
          <w:rStyle w:val="markedcontent"/>
          <w:b/>
        </w:rPr>
        <w:t>ara recibir SMS de verificación</w:t>
      </w:r>
    </w:p>
    <w:p w14:paraId="033E9570" w14:textId="68F0AE22" w:rsidR="00EB7D83" w:rsidRDefault="00C923B2">
      <w:pPr>
        <w:pStyle w:val="NormalWeb"/>
        <w:ind w:left="600"/>
      </w:pPr>
      <w:r>
        <w:rPr>
          <w:rStyle w:val="markedcontent"/>
        </w:rPr>
        <w:t>Tenga en cuenta que, si ha completado el registro de su número de teléfono móvil, esto debería bastar para autenticarse utilizando el método Teléfono móvil + SMS.</w:t>
      </w:r>
    </w:p>
    <w:p w14:paraId="12F799DF" w14:textId="46C75EDC" w:rsidR="00EB7D83" w:rsidRDefault="0032188F">
      <w:pPr>
        <w:pStyle w:val="NormalWeb"/>
        <w:ind w:left="600"/>
      </w:pPr>
      <w:r>
        <w:rPr>
          <w:noProof/>
        </w:rPr>
        <w:lastRenderedPageBreak/>
        <w:drawing>
          <wp:inline distT="0" distB="0" distL="0" distR="0" wp14:anchorId="698F06F8" wp14:editId="25D0DFF0">
            <wp:extent cx="3339369" cy="35433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343673" cy="3547867"/>
                    </a:xfrm>
                    <a:prstGeom prst="rect">
                      <a:avLst/>
                    </a:prstGeom>
                  </pic:spPr>
                </pic:pic>
              </a:graphicData>
            </a:graphic>
          </wp:inline>
        </w:drawing>
      </w:r>
    </w:p>
    <w:p w14:paraId="3FD6AB9F" w14:textId="07CEE0EA" w:rsidR="00EB7D83" w:rsidRDefault="00C923B2">
      <w:pPr>
        <w:pStyle w:val="NormalWeb"/>
        <w:ind w:left="600"/>
      </w:pPr>
      <w:r>
        <w:rPr>
          <w:rStyle w:val="markedcontent"/>
        </w:rPr>
        <w:t xml:space="preserve">Sin embargo, si </w:t>
      </w:r>
      <w:bookmarkStart w:id="0" w:name="_Hlk120260652"/>
      <w:r>
        <w:rPr>
          <w:rStyle w:val="markedcontent"/>
        </w:rPr>
        <w:t xml:space="preserve">desea utilizar otros </w:t>
      </w:r>
      <w:bookmarkEnd w:id="0"/>
      <w:r>
        <w:rPr>
          <w:rStyle w:val="markedcontent"/>
        </w:rPr>
        <w:t xml:space="preserve">métodos de autenticación más rápidos que el del SMS, vaya a la sección «Instalar e inicializar la aplicación móvil EU </w:t>
      </w:r>
      <w:proofErr w:type="spellStart"/>
      <w:r>
        <w:rPr>
          <w:rStyle w:val="markedcontent"/>
        </w:rPr>
        <w:t>Login</w:t>
      </w:r>
      <w:proofErr w:type="spellEnd"/>
      <w:r>
        <w:rPr>
          <w:rStyle w:val="markedcontent"/>
        </w:rPr>
        <w:t>»:</w:t>
      </w:r>
    </w:p>
    <w:p w14:paraId="2982D8AA" w14:textId="77777777" w:rsidR="00EB7D83" w:rsidRDefault="00EB7D83" w:rsidP="00932036">
      <w:pPr>
        <w:spacing w:before="100" w:beforeAutospacing="1" w:after="100" w:afterAutospacing="1"/>
        <w:ind w:left="1440"/>
        <w:rPr>
          <w:rFonts w:eastAsia="Times New Roman"/>
        </w:rPr>
      </w:pPr>
    </w:p>
    <w:p w14:paraId="1BBECCCC" w14:textId="4436B32B" w:rsidR="00EB7D83" w:rsidRDefault="00C923B2">
      <w:pPr>
        <w:numPr>
          <w:ilvl w:val="1"/>
          <w:numId w:val="2"/>
        </w:numPr>
        <w:spacing w:before="100" w:beforeAutospacing="1" w:after="100" w:afterAutospacing="1"/>
        <w:rPr>
          <w:rFonts w:eastAsia="Times New Roman"/>
        </w:rPr>
      </w:pPr>
      <w:r>
        <w:rPr>
          <w:rStyle w:val="markedcontent"/>
          <w:b/>
        </w:rPr>
        <w:t xml:space="preserve">página 20: Instalar e inicializar la aplicación móvil EU </w:t>
      </w:r>
      <w:proofErr w:type="spellStart"/>
      <w:r>
        <w:rPr>
          <w:rStyle w:val="markedcontent"/>
          <w:b/>
        </w:rPr>
        <w:t>Login</w:t>
      </w:r>
      <w:proofErr w:type="spellEnd"/>
    </w:p>
    <w:p w14:paraId="01C37C30" w14:textId="77777777" w:rsidR="00EB7D83" w:rsidRDefault="00C923B2">
      <w:pPr>
        <w:pStyle w:val="NormalWeb"/>
        <w:ind w:left="600"/>
      </w:pPr>
      <w:r>
        <w:rPr>
          <w:rStyle w:val="markedcontent"/>
        </w:rPr>
        <w:t xml:space="preserve">A continuación, podrá iniciar sesión utilizando la notificación de inserción o el código QR de la aplicación móvil EU </w:t>
      </w:r>
      <w:proofErr w:type="spellStart"/>
      <w:r>
        <w:rPr>
          <w:rStyle w:val="markedcontent"/>
        </w:rPr>
        <w:t>Login</w:t>
      </w:r>
      <w:proofErr w:type="spellEnd"/>
    </w:p>
    <w:p w14:paraId="437FFB41" w14:textId="3272E7D9" w:rsidR="00EB7D83" w:rsidRDefault="0032188F">
      <w:pPr>
        <w:pStyle w:val="NormalWeb"/>
        <w:ind w:left="600"/>
      </w:pPr>
      <w:r>
        <w:rPr>
          <w:noProof/>
        </w:rPr>
        <w:drawing>
          <wp:inline distT="0" distB="0" distL="0" distR="0" wp14:anchorId="7D352CD2" wp14:editId="7F907618">
            <wp:extent cx="2514600" cy="1253569"/>
            <wp:effectExtent l="0" t="0" r="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518054" cy="1255291"/>
                    </a:xfrm>
                    <a:prstGeom prst="rect">
                      <a:avLst/>
                    </a:prstGeom>
                  </pic:spPr>
                </pic:pic>
              </a:graphicData>
            </a:graphic>
          </wp:inline>
        </w:drawing>
      </w:r>
    </w:p>
    <w:p w14:paraId="1FD6C0D6" w14:textId="095788B8" w:rsidR="00EB7D83" w:rsidRDefault="0032188F">
      <w:pPr>
        <w:pStyle w:val="NormalWeb"/>
        <w:ind w:left="600"/>
      </w:pPr>
      <w:r>
        <w:rPr>
          <w:noProof/>
        </w:rPr>
        <w:lastRenderedPageBreak/>
        <w:drawing>
          <wp:inline distT="0" distB="0" distL="0" distR="0" wp14:anchorId="7E24A879" wp14:editId="3E2C7B8E">
            <wp:extent cx="2625725" cy="2237262"/>
            <wp:effectExtent l="0" t="0" r="317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633515" cy="2243899"/>
                    </a:xfrm>
                    <a:prstGeom prst="rect">
                      <a:avLst/>
                    </a:prstGeom>
                  </pic:spPr>
                </pic:pic>
              </a:graphicData>
            </a:graphic>
          </wp:inline>
        </w:drawing>
      </w:r>
    </w:p>
    <w:p w14:paraId="0CB0A285" w14:textId="39FE6F71" w:rsidR="00EB7D83" w:rsidRDefault="0032188F">
      <w:pPr>
        <w:pStyle w:val="NormalWeb"/>
        <w:ind w:left="600"/>
      </w:pPr>
      <w:r>
        <w:rPr>
          <w:noProof/>
        </w:rPr>
        <w:drawing>
          <wp:inline distT="0" distB="0" distL="0" distR="0" wp14:anchorId="05C4D386" wp14:editId="64ECFEB5">
            <wp:extent cx="2571750" cy="1912872"/>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577711" cy="1917306"/>
                    </a:xfrm>
                    <a:prstGeom prst="rect">
                      <a:avLst/>
                    </a:prstGeom>
                  </pic:spPr>
                </pic:pic>
              </a:graphicData>
            </a:graphic>
          </wp:inline>
        </w:drawing>
      </w:r>
      <w:r w:rsidR="007F72A0">
        <w:t xml:space="preserve"> </w:t>
      </w:r>
    </w:p>
    <w:p w14:paraId="6F577472" w14:textId="77777777" w:rsidR="00EB7D83" w:rsidRDefault="00EB7D83">
      <w:pPr>
        <w:pStyle w:val="Title1"/>
        <w:ind w:left="600"/>
      </w:pPr>
    </w:p>
    <w:p w14:paraId="091B3918" w14:textId="00514D14" w:rsidR="00EB7D83" w:rsidRDefault="00C923B2">
      <w:pPr>
        <w:pStyle w:val="Title1"/>
        <w:divId w:val="898059633"/>
      </w:pPr>
      <w:r>
        <w:t xml:space="preserve">Enlace a la configuración de la cuenta EU </w:t>
      </w:r>
      <w:proofErr w:type="spellStart"/>
      <w:r>
        <w:t>Login</w:t>
      </w:r>
      <w:proofErr w:type="spellEnd"/>
    </w:p>
    <w:p w14:paraId="746A14F9" w14:textId="01845BFB" w:rsidR="00EB7D83" w:rsidRDefault="00C923B2">
      <w:pPr>
        <w:pStyle w:val="NormalWeb"/>
        <w:ind w:left="600"/>
        <w:divId w:val="1073507667"/>
      </w:pPr>
      <w:r>
        <w:t xml:space="preserve">En cualquier momento puede hacer clic en este enlace para conectarse a la configuración de su cuenta EU </w:t>
      </w:r>
      <w:proofErr w:type="spellStart"/>
      <w:r>
        <w:t>Login</w:t>
      </w:r>
      <w:proofErr w:type="spellEnd"/>
      <w:r>
        <w:t>: </w:t>
      </w:r>
      <w:hyperlink r:id="rId20" w:history="1">
        <w:r>
          <w:rPr>
            <w:rStyle w:val="Hyperlink"/>
          </w:rPr>
          <w:t>https://webgate.ec.europa.eu/cas/userdata/myAccount.cgi</w:t>
        </w:r>
      </w:hyperlink>
      <w:r>
        <w:t xml:space="preserve"> </w:t>
      </w:r>
    </w:p>
    <w:p w14:paraId="24B38AB2" w14:textId="4DC95A1D" w:rsidR="00EB7D83" w:rsidRDefault="00C923B2">
      <w:pPr>
        <w:pStyle w:val="NormalWeb"/>
        <w:ind w:left="600"/>
        <w:divId w:val="1073507667"/>
      </w:pPr>
      <w:r>
        <w:t xml:space="preserve">El tutorial sobre la cuenta EU </w:t>
      </w:r>
      <w:proofErr w:type="spellStart"/>
      <w:r>
        <w:t>Login</w:t>
      </w:r>
      <w:proofErr w:type="spellEnd"/>
      <w:r>
        <w:t xml:space="preserve"> (en inglés) está disponible en: </w:t>
      </w:r>
      <w:hyperlink r:id="rId21" w:history="1">
        <w:r>
          <w:rPr>
            <w:rStyle w:val="Hyperlink"/>
          </w:rPr>
          <w:t>https://webgate.ec.europa.eu/cas/manuals/EU_Login_Tutorial.pdf</w:t>
        </w:r>
      </w:hyperlink>
    </w:p>
    <w:p w14:paraId="16DC9A6B" w14:textId="77777777" w:rsidR="00EB7D83" w:rsidRDefault="00EB7D83">
      <w:pPr>
        <w:pStyle w:val="NormalWeb"/>
        <w:ind w:left="600"/>
      </w:pPr>
    </w:p>
    <w:p w14:paraId="281CC6DA" w14:textId="77777777" w:rsidR="00EB7D83" w:rsidRDefault="00EB7D83">
      <w:pPr>
        <w:pStyle w:val="NormalWeb"/>
        <w:ind w:left="600"/>
      </w:pPr>
    </w:p>
    <w:p w14:paraId="730553B6" w14:textId="77777777" w:rsidR="00EB7D83" w:rsidRDefault="00EB7D83">
      <w:pPr>
        <w:pStyle w:val="NormalWeb"/>
        <w:ind w:left="600"/>
      </w:pPr>
    </w:p>
    <w:sectPr w:rsidR="00EB7D83">
      <w:pgSz w:w="12240" w:h="15840"/>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A69B9" w14:textId="77777777" w:rsidR="00ED4C2A" w:rsidRDefault="00ED4C2A" w:rsidP="00C923B2">
      <w:r>
        <w:separator/>
      </w:r>
    </w:p>
  </w:endnote>
  <w:endnote w:type="continuationSeparator" w:id="0">
    <w:p w14:paraId="69B3ABD4" w14:textId="77777777" w:rsidR="00ED4C2A" w:rsidRDefault="00ED4C2A" w:rsidP="00C92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4915C" w14:textId="77777777" w:rsidR="00ED4C2A" w:rsidRDefault="00ED4C2A" w:rsidP="00C923B2">
      <w:r>
        <w:separator/>
      </w:r>
    </w:p>
  </w:footnote>
  <w:footnote w:type="continuationSeparator" w:id="0">
    <w:p w14:paraId="6644A78E" w14:textId="77777777" w:rsidR="00ED4C2A" w:rsidRDefault="00ED4C2A" w:rsidP="00C923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E2BA3"/>
    <w:multiLevelType w:val="hybridMultilevel"/>
    <w:tmpl w:val="D7C2B8B8"/>
    <w:lvl w:ilvl="0" w:tplc="18090011">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 w15:restartNumberingAfterBreak="0">
    <w:nsid w:val="74861BA5"/>
    <w:multiLevelType w:val="multilevel"/>
    <w:tmpl w:val="7EC24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0A18E2"/>
    <w:multiLevelType w:val="multilevel"/>
    <w:tmpl w:val="8D8CB4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A5EF9"/>
    <w:rsid w:val="001C5EB5"/>
    <w:rsid w:val="00290481"/>
    <w:rsid w:val="002A52C8"/>
    <w:rsid w:val="002F1535"/>
    <w:rsid w:val="0032188F"/>
    <w:rsid w:val="003F0313"/>
    <w:rsid w:val="004D2203"/>
    <w:rsid w:val="005E0E76"/>
    <w:rsid w:val="00762C55"/>
    <w:rsid w:val="007F72A0"/>
    <w:rsid w:val="008A5EF9"/>
    <w:rsid w:val="008E43E0"/>
    <w:rsid w:val="0092604C"/>
    <w:rsid w:val="00932036"/>
    <w:rsid w:val="009E18D6"/>
    <w:rsid w:val="00A9008F"/>
    <w:rsid w:val="00AF3D0B"/>
    <w:rsid w:val="00B033AC"/>
    <w:rsid w:val="00B362DE"/>
    <w:rsid w:val="00BE07B9"/>
    <w:rsid w:val="00C923B2"/>
    <w:rsid w:val="00D25C18"/>
    <w:rsid w:val="00D40077"/>
    <w:rsid w:val="00EB7D83"/>
    <w:rsid w:val="00ED4C2A"/>
    <w:rsid w:val="00FF247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66A5D6"/>
  <w15:chartTrackingRefBased/>
  <w15:docId w15:val="{91D56A31-5EA7-4F48-8632-F30DB2447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nh-number">
    <w:name w:val="nh-number"/>
    <w:basedOn w:val="DefaultParagraphFont"/>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Strong">
    <w:name w:val="Strong"/>
    <w:basedOn w:val="DefaultParagraphFont"/>
    <w:uiPriority w:val="22"/>
    <w:qFormat/>
    <w:rPr>
      <w:b/>
      <w:bCs/>
    </w:rPr>
  </w:style>
  <w:style w:type="character" w:customStyle="1" w:styleId="confluence-embedded-file-wrapper">
    <w:name w:val="confluence-embedded-file-wrapper"/>
    <w:basedOn w:val="DefaultParagraphFont"/>
  </w:style>
  <w:style w:type="character" w:customStyle="1" w:styleId="markedcontent">
    <w:name w:val="markedcontent"/>
    <w:basedOn w:val="DefaultParagraphFont"/>
  </w:style>
  <w:style w:type="paragraph" w:customStyle="1" w:styleId="Title1">
    <w:name w:val="Title1"/>
    <w:basedOn w:val="Normal"/>
    <w:pPr>
      <w:spacing w:before="100" w:beforeAutospacing="1" w:after="100" w:afterAutospacing="1"/>
    </w:pPr>
  </w:style>
  <w:style w:type="character" w:customStyle="1" w:styleId="aui-icon">
    <w:name w:val="aui-icon"/>
    <w:basedOn w:val="DefaultParagraphFont"/>
  </w:style>
  <w:style w:type="character" w:styleId="CommentReference">
    <w:name w:val="annotation reference"/>
    <w:basedOn w:val="DefaultParagraphFont"/>
    <w:uiPriority w:val="99"/>
    <w:semiHidden/>
    <w:unhideWhenUsed/>
    <w:rsid w:val="008E43E0"/>
    <w:rPr>
      <w:sz w:val="16"/>
      <w:szCs w:val="16"/>
    </w:rPr>
  </w:style>
  <w:style w:type="paragraph" w:styleId="CommentText">
    <w:name w:val="annotation text"/>
    <w:basedOn w:val="Normal"/>
    <w:link w:val="CommentTextChar"/>
    <w:uiPriority w:val="99"/>
    <w:unhideWhenUsed/>
    <w:rsid w:val="008E43E0"/>
    <w:rPr>
      <w:sz w:val="20"/>
      <w:szCs w:val="20"/>
    </w:rPr>
  </w:style>
  <w:style w:type="character" w:customStyle="1" w:styleId="CommentTextChar">
    <w:name w:val="Comment Text Char"/>
    <w:basedOn w:val="DefaultParagraphFont"/>
    <w:link w:val="CommentText"/>
    <w:uiPriority w:val="99"/>
    <w:rsid w:val="008E43E0"/>
    <w:rPr>
      <w:rFonts w:eastAsiaTheme="minorEastAsia"/>
    </w:rPr>
  </w:style>
  <w:style w:type="paragraph" w:styleId="CommentSubject">
    <w:name w:val="annotation subject"/>
    <w:basedOn w:val="CommentText"/>
    <w:next w:val="CommentText"/>
    <w:link w:val="CommentSubjectChar"/>
    <w:uiPriority w:val="99"/>
    <w:semiHidden/>
    <w:unhideWhenUsed/>
    <w:rsid w:val="008E43E0"/>
    <w:rPr>
      <w:b/>
      <w:bCs/>
    </w:rPr>
  </w:style>
  <w:style w:type="character" w:customStyle="1" w:styleId="CommentSubjectChar">
    <w:name w:val="Comment Subject Char"/>
    <w:basedOn w:val="CommentTextChar"/>
    <w:link w:val="CommentSubject"/>
    <w:uiPriority w:val="99"/>
    <w:semiHidden/>
    <w:rsid w:val="008E43E0"/>
    <w:rPr>
      <w:rFonts w:eastAsiaTheme="minorEastAsia"/>
      <w:b/>
      <w:bCs/>
    </w:rPr>
  </w:style>
  <w:style w:type="paragraph" w:styleId="ListParagraph">
    <w:name w:val="List Paragraph"/>
    <w:basedOn w:val="Normal"/>
    <w:uiPriority w:val="34"/>
    <w:qFormat/>
    <w:rsid w:val="00FF247A"/>
    <w:pPr>
      <w:ind w:left="720"/>
    </w:pPr>
    <w:rPr>
      <w:rFonts w:ascii="Calibri" w:eastAsiaTheme="minorHAnsi" w:hAnsi="Calibri" w:cs="Calibri"/>
      <w:sz w:val="22"/>
      <w:szCs w:val="22"/>
    </w:rPr>
  </w:style>
  <w:style w:type="character" w:customStyle="1" w:styleId="UnresolvedMention1">
    <w:name w:val="Unresolved Mention1"/>
    <w:basedOn w:val="DefaultParagraphFont"/>
    <w:uiPriority w:val="99"/>
    <w:semiHidden/>
    <w:unhideWhenUsed/>
    <w:rsid w:val="00FF247A"/>
    <w:rPr>
      <w:color w:val="605E5C"/>
      <w:shd w:val="clear" w:color="auto" w:fill="E1DFDD"/>
    </w:rPr>
  </w:style>
  <w:style w:type="paragraph" w:styleId="BalloonText">
    <w:name w:val="Balloon Text"/>
    <w:basedOn w:val="Normal"/>
    <w:link w:val="BalloonTextChar"/>
    <w:uiPriority w:val="99"/>
    <w:semiHidden/>
    <w:unhideWhenUsed/>
    <w:rsid w:val="00D25C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C18"/>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166235">
      <w:bodyDiv w:val="1"/>
      <w:marLeft w:val="0"/>
      <w:marRight w:val="0"/>
      <w:marTop w:val="0"/>
      <w:marBottom w:val="0"/>
      <w:divBdr>
        <w:top w:val="none" w:sz="0" w:space="0" w:color="auto"/>
        <w:left w:val="none" w:sz="0" w:space="0" w:color="auto"/>
        <w:bottom w:val="none" w:sz="0" w:space="0" w:color="auto"/>
        <w:right w:val="none" w:sz="0" w:space="0" w:color="auto"/>
      </w:divBdr>
    </w:div>
    <w:div w:id="898059633">
      <w:marLeft w:val="0"/>
      <w:marRight w:val="0"/>
      <w:marTop w:val="0"/>
      <w:marBottom w:val="0"/>
      <w:divBdr>
        <w:top w:val="none" w:sz="0" w:space="0" w:color="auto"/>
        <w:left w:val="none" w:sz="0" w:space="0" w:color="auto"/>
        <w:bottom w:val="none" w:sz="0" w:space="0" w:color="auto"/>
        <w:right w:val="none" w:sz="0" w:space="0" w:color="auto"/>
      </w:divBdr>
      <w:divsChild>
        <w:div w:id="1073507667">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tmp"/><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hyperlink" Target="https://webgate.ec.europa.eu/cas/manuals/EU_Login_Tutorial.pdf" TargetMode="External"/><Relationship Id="rId7" Type="http://schemas.openxmlformats.org/officeDocument/2006/relationships/hyperlink" Target="https://register.eci.ec.europa.eu/organisers" TargetMode="Externa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yperlink" Target="https://webgate.ec.europa.eu/cas/userdata/myAccount.cg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s://webgate.ec.europa.eu/cas/manuals/EU_Login_Tutorial.pdf"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530</Words>
  <Characters>2772</Characters>
  <Application>Microsoft Office Word</Application>
  <DocSecurity>0</DocSecurity>
  <Lines>77</Lines>
  <Paragraphs>31</Paragraphs>
  <ScaleCrop>false</ScaleCrop>
  <HeadingPairs>
    <vt:vector size="2" baseType="variant">
      <vt:variant>
        <vt:lpstr>Title</vt:lpstr>
      </vt:variant>
      <vt:variant>
        <vt:i4>1</vt:i4>
      </vt:variant>
    </vt:vector>
  </HeadingPairs>
  <TitlesOfParts>
    <vt:vector size="1" baseType="lpstr">
      <vt:lpstr>ECI-OCS Procedure to create and configure your EU Login account to launch an initiative</vt:lpstr>
    </vt:vector>
  </TitlesOfParts>
  <Company>European Commission</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ECI-OCS Procedure to create and configure your EU Login account to launch an initiative</dc:title>
  <dc:subject/>
  <dc:creator>BEZIRTZOGLOU Christos (SG)</dc:creator>
  <cp:keywords/>
  <dc:description/>
  <cp:lastModifiedBy>POPA Ana-Maria (DIGIT-EXT)</cp:lastModifiedBy>
  <cp:revision>3</cp:revision>
  <dcterms:created xsi:type="dcterms:W3CDTF">2022-12-15T09:23:00Z</dcterms:created>
  <dcterms:modified xsi:type="dcterms:W3CDTF">2022-12-15T09:31:00Z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2022-10-25T16:30:58Z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19375913-6341-4eb7-847a-3dcae51ab06a</vt:lpwstr>
  </property>
  <property fmtid="{D5CDD505-2E9C-101B-9397-08002B2CF9AE}" pid="8" name="MSIP_Label_6bd9ddd1-4d20-43f6-abfa-fc3c07406f94_ContentBits">
    <vt:lpwstr>0</vt:lpwstr>
  </property>
</Properties>
</file>