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ADB48" w14:textId="40DB2702" w:rsidR="002F1535" w:rsidRDefault="002F1535" w:rsidP="00290481">
      <w:pPr>
        <w:pStyle w:val="NormalWeb"/>
        <w:ind w:left="600"/>
        <w:rPr>
          <w:b/>
          <w:bCs/>
          <w:sz w:val="36"/>
          <w:szCs w:val="36"/>
        </w:rPr>
      </w:pPr>
    </w:p>
    <w:p w14:paraId="3997AB7D" w14:textId="40705063" w:rsidR="00EB7D83" w:rsidRPr="00290481" w:rsidRDefault="00C923B2" w:rsidP="00290481">
      <w:pPr>
        <w:pStyle w:val="NormalWeb"/>
        <w:ind w:left="600"/>
        <w:rPr>
          <w:b/>
          <w:bCs/>
          <w:sz w:val="36"/>
          <w:szCs w:val="36"/>
        </w:rPr>
      </w:pPr>
      <w:r>
        <w:rPr>
          <w:b/>
          <w:sz w:val="36"/>
        </w:rPr>
        <w:t>Compte organisateur ICE: procédure de création et de configuration de votre compte EU Login pour lancer et gérer une initiative</w:t>
      </w:r>
    </w:p>
    <w:p w14:paraId="0A9AA39E" w14:textId="77777777" w:rsidR="00EB7D83" w:rsidRDefault="00C923B2">
      <w:pPr>
        <w:pStyle w:val="Heading1"/>
        <w:rPr>
          <w:rFonts w:eastAsia="Times New Roman"/>
        </w:rPr>
      </w:pPr>
      <w:r>
        <w:rPr>
          <w:rStyle w:val="nh-number"/>
        </w:rPr>
        <w:t xml:space="preserve">1. </w:t>
      </w:r>
      <w:r>
        <w:t>Contexte</w:t>
      </w:r>
    </w:p>
    <w:p w14:paraId="6983A9A1" w14:textId="0939926E" w:rsidR="00EB7D83" w:rsidRDefault="00C923B2">
      <w:pPr>
        <w:pStyle w:val="NormalWeb"/>
        <w:ind w:left="600"/>
      </w:pPr>
      <w:r>
        <w:t>Pour lancer une initiative citoyenne européenne, la première étape consiste à créer un compte EU Login (si vous n’en avez pas encore). Ce compte, créé avec votre adresse électronique personnelle, vous permet d’accéder au module de compte organisateur ICE, où vous pouvez gérer votre initiative.</w:t>
      </w:r>
    </w:p>
    <w:p w14:paraId="7B0F7F65" w14:textId="65698150" w:rsidR="00EB7D83" w:rsidRDefault="008E43E0">
      <w:pPr>
        <w:pStyle w:val="NormalWeb"/>
        <w:ind w:left="600"/>
      </w:pPr>
      <w:r>
        <w:t>Afin de garantir une sécurité accrue, le processus d’authentification repose désormais sur une authentification à deux facteurs, ce qui requiert une étape supplémentaire après l’authentification par mot de passe. Pour ce faire, il est nécessaire d’associer votre numéro de téléphone portable à votre compte EU Login.</w:t>
      </w:r>
    </w:p>
    <w:p w14:paraId="1C9733D7" w14:textId="1F688ECA" w:rsidR="00EB7D83" w:rsidRDefault="00C923B2">
      <w:pPr>
        <w:pStyle w:val="NormalWeb"/>
        <w:ind w:left="600"/>
      </w:pPr>
      <w:r>
        <w:t>La procédure permettant de créer votre compte EU Login et d’y associer votre numéro de téléphone portable est expliquée ci-dessous.</w:t>
      </w:r>
    </w:p>
    <w:p w14:paraId="6FAC732E" w14:textId="132A7CF9" w:rsidR="00EB7D83" w:rsidRDefault="00C923B2">
      <w:pPr>
        <w:pStyle w:val="Heading1"/>
        <w:rPr>
          <w:rFonts w:eastAsia="Times New Roman"/>
        </w:rPr>
      </w:pPr>
      <w:r>
        <w:rPr>
          <w:rStyle w:val="nh-number"/>
        </w:rPr>
        <w:t xml:space="preserve">2. </w:t>
      </w:r>
      <w:r>
        <w:t>Créer un compte EU Login</w:t>
      </w:r>
    </w:p>
    <w:p w14:paraId="45CB8EC4" w14:textId="0A6ABC64" w:rsidR="00EB7D83" w:rsidRDefault="00C923B2">
      <w:pPr>
        <w:pStyle w:val="NormalWeb"/>
        <w:ind w:left="600"/>
      </w:pPr>
      <w:r>
        <w:t>Après avoir décidé de créer un compte organisateur en cliquant sur le bouton «Compte organisateur» (</w:t>
      </w:r>
      <w:hyperlink r:id="rId7" w:history="1">
        <w:r>
          <w:rPr>
            <w:rStyle w:val="Strong"/>
            <w:color w:val="0000FF"/>
            <w:u w:val="single"/>
          </w:rPr>
          <w:t>https://register.eci.ec.europa.eu/organisers</w:t>
        </w:r>
      </w:hyperlink>
      <w:r>
        <w:t>),</w:t>
      </w:r>
    </w:p>
    <w:p w14:paraId="2D30D424" w14:textId="2D3FE1A0" w:rsidR="00EB7D83" w:rsidRDefault="00A8510D">
      <w:pPr>
        <w:pStyle w:val="NormalWeb"/>
        <w:ind w:left="600"/>
      </w:pPr>
      <w:r>
        <w:rPr>
          <w:noProof/>
        </w:rPr>
        <w:drawing>
          <wp:inline distT="0" distB="0" distL="0" distR="0" wp14:anchorId="06BF7CBD" wp14:editId="7B210851">
            <wp:extent cx="226695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66950" cy="723900"/>
                    </a:xfrm>
                    <a:prstGeom prst="rect">
                      <a:avLst/>
                    </a:prstGeom>
                  </pic:spPr>
                </pic:pic>
              </a:graphicData>
            </a:graphic>
          </wp:inline>
        </w:drawing>
      </w:r>
    </w:p>
    <w:p w14:paraId="454721E0" w14:textId="77777777" w:rsidR="00EB7D83" w:rsidRDefault="00C923B2">
      <w:pPr>
        <w:pStyle w:val="NormalWeb"/>
        <w:ind w:left="600"/>
      </w:pPr>
      <w:r>
        <w:t>vous êtes redirigé(e) vers la page EU Login:</w:t>
      </w:r>
    </w:p>
    <w:p w14:paraId="54EB5C13" w14:textId="49F4C55C" w:rsidR="00EB7D83" w:rsidRDefault="00A8510D">
      <w:pPr>
        <w:pStyle w:val="NormalWeb"/>
        <w:ind w:left="600"/>
      </w:pPr>
      <w:r>
        <w:rPr>
          <w:noProof/>
        </w:rPr>
        <w:lastRenderedPageBreak/>
        <w:drawing>
          <wp:inline distT="0" distB="0" distL="0" distR="0" wp14:anchorId="4E44348F" wp14:editId="703A207B">
            <wp:extent cx="4902200" cy="315029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13902" cy="3157812"/>
                    </a:xfrm>
                    <a:prstGeom prst="rect">
                      <a:avLst/>
                    </a:prstGeom>
                  </pic:spPr>
                </pic:pic>
              </a:graphicData>
            </a:graphic>
          </wp:inline>
        </w:drawing>
      </w:r>
    </w:p>
    <w:p w14:paraId="64382C9A" w14:textId="77777777" w:rsidR="00EB7D83" w:rsidRDefault="00EB7D83">
      <w:pPr>
        <w:pStyle w:val="NormalWeb"/>
        <w:ind w:left="600"/>
      </w:pPr>
    </w:p>
    <w:p w14:paraId="5A13F8C5" w14:textId="48F339B1" w:rsidR="00EB7D83" w:rsidRDefault="00EB7D83">
      <w:pPr>
        <w:pStyle w:val="NormalWeb"/>
        <w:ind w:left="600"/>
      </w:pPr>
    </w:p>
    <w:p w14:paraId="343B95B8" w14:textId="6F2CD3A8" w:rsidR="00EB7D83" w:rsidRDefault="008E43E0">
      <w:pPr>
        <w:pStyle w:val="NormalWeb"/>
        <w:ind w:left="600"/>
      </w:pPr>
      <w:r>
        <w:t xml:space="preserve">Si vous n’avez pas de compte, veuillez cliquer sur le lien </w:t>
      </w:r>
      <w:r>
        <w:rPr>
          <w:u w:val="single"/>
        </w:rPr>
        <w:t>Créer un compte</w:t>
      </w:r>
      <w:r>
        <w:t xml:space="preserve"> (si vous en avez un, passez à l’étape 3).</w:t>
      </w:r>
    </w:p>
    <w:p w14:paraId="6CEB746E" w14:textId="77777777" w:rsidR="00EB7D83" w:rsidRDefault="00EB7D83">
      <w:pPr>
        <w:pStyle w:val="NormalWeb"/>
        <w:ind w:left="600"/>
      </w:pPr>
    </w:p>
    <w:p w14:paraId="1FDE8FD5" w14:textId="60F32658" w:rsidR="00EB7D83" w:rsidRDefault="00CB316B">
      <w:pPr>
        <w:pStyle w:val="NormalWeb"/>
        <w:ind w:left="600"/>
      </w:pPr>
      <w:r>
        <w:rPr>
          <w:noProof/>
        </w:rPr>
        <w:lastRenderedPageBreak/>
        <w:drawing>
          <wp:inline distT="0" distB="0" distL="0" distR="0" wp14:anchorId="6B12D568" wp14:editId="4F0E1D91">
            <wp:extent cx="5273675" cy="5784855"/>
            <wp:effectExtent l="0" t="0" r="3175"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794" cy="5786083"/>
                    </a:xfrm>
                    <a:prstGeom prst="rect">
                      <a:avLst/>
                    </a:prstGeom>
                  </pic:spPr>
                </pic:pic>
              </a:graphicData>
            </a:graphic>
          </wp:inline>
        </w:drawing>
      </w:r>
    </w:p>
    <w:p w14:paraId="3BDCAB1F" w14:textId="25C0C6C0" w:rsidR="00EB7D83" w:rsidRDefault="00C923B2">
      <w:pPr>
        <w:pStyle w:val="NormalWeb"/>
        <w:ind w:left="600"/>
      </w:pPr>
      <w:r>
        <w:t>Après avoir rempli tous les champs, coché la case relative à la déclaration de confidentialité et cliqué sur le bouton «Créer un compte», le traitement de votre demande devrait débuter.</w:t>
      </w:r>
    </w:p>
    <w:p w14:paraId="1B9DAA18" w14:textId="39C13E13" w:rsidR="00EB7D83" w:rsidRDefault="00CB316B">
      <w:pPr>
        <w:pStyle w:val="NormalWeb"/>
        <w:ind w:left="600"/>
      </w:pPr>
      <w:r>
        <w:rPr>
          <w:noProof/>
        </w:rPr>
        <w:lastRenderedPageBreak/>
        <w:drawing>
          <wp:inline distT="0" distB="0" distL="0" distR="0" wp14:anchorId="45773D76" wp14:editId="0A7DBA8D">
            <wp:extent cx="3019425" cy="19335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19425" cy="1933575"/>
                    </a:xfrm>
                    <a:prstGeom prst="rect">
                      <a:avLst/>
                    </a:prstGeom>
                  </pic:spPr>
                </pic:pic>
              </a:graphicData>
            </a:graphic>
          </wp:inline>
        </w:drawing>
      </w:r>
    </w:p>
    <w:p w14:paraId="7D3A7614" w14:textId="77777777" w:rsidR="00EB7D83" w:rsidRDefault="00EB7D83">
      <w:pPr>
        <w:pStyle w:val="NormalWeb"/>
        <w:ind w:left="600"/>
      </w:pPr>
    </w:p>
    <w:p w14:paraId="46D0CDBC" w14:textId="12D24651" w:rsidR="00EB7D83" w:rsidRDefault="00C923B2">
      <w:pPr>
        <w:pStyle w:val="NormalWeb"/>
        <w:ind w:left="600"/>
      </w:pPr>
      <w:r>
        <w:t>Une fois cette étape achevée, vous devriez recevoir le message suivant:</w:t>
      </w:r>
    </w:p>
    <w:p w14:paraId="53717180" w14:textId="3CC444AF" w:rsidR="00EB7D83" w:rsidRDefault="00CB316B">
      <w:pPr>
        <w:pStyle w:val="NormalWeb"/>
        <w:ind w:left="600"/>
      </w:pPr>
      <w:r>
        <w:rPr>
          <w:noProof/>
        </w:rPr>
        <w:drawing>
          <wp:inline distT="0" distB="0" distL="0" distR="0" wp14:anchorId="508BB80D" wp14:editId="6821FA5E">
            <wp:extent cx="3822700" cy="1553176"/>
            <wp:effectExtent l="0" t="0" r="635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42370" cy="1561168"/>
                    </a:xfrm>
                    <a:prstGeom prst="rect">
                      <a:avLst/>
                    </a:prstGeom>
                  </pic:spPr>
                </pic:pic>
              </a:graphicData>
            </a:graphic>
          </wp:inline>
        </w:drawing>
      </w:r>
    </w:p>
    <w:p w14:paraId="421C0AED" w14:textId="6F956AD2" w:rsidR="00EB7D83" w:rsidRDefault="00C923B2">
      <w:pPr>
        <w:pStyle w:val="NormalWeb"/>
        <w:ind w:left="600"/>
      </w:pPr>
      <w:r>
        <w:t>Allez sur votre compte de messagerie électronique, ouvrez le courriel reçu et cliquez sur le lien pour ajouter un mot de passe.</w:t>
      </w:r>
    </w:p>
    <w:p w14:paraId="48DBEE41" w14:textId="77777777" w:rsidR="00EB7D83" w:rsidRDefault="00C923B2">
      <w:pPr>
        <w:pStyle w:val="NormalWeb"/>
        <w:ind w:left="600"/>
      </w:pPr>
      <w:r>
        <w:rPr>
          <w:noProof/>
        </w:rPr>
        <w:drawing>
          <wp:inline distT="0" distB="0" distL="0" distR="0" wp14:anchorId="20184809" wp14:editId="5E9048D3">
            <wp:extent cx="4457700" cy="19748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57700" cy="1974850"/>
                    </a:xfrm>
                    <a:prstGeom prst="rect">
                      <a:avLst/>
                    </a:prstGeom>
                    <a:noFill/>
                    <a:ln>
                      <a:noFill/>
                    </a:ln>
                  </pic:spPr>
                </pic:pic>
              </a:graphicData>
            </a:graphic>
          </wp:inline>
        </w:drawing>
      </w:r>
    </w:p>
    <w:p w14:paraId="38500A62" w14:textId="77777777" w:rsidR="00EB7D83" w:rsidRDefault="00EB7D83">
      <w:pPr>
        <w:pStyle w:val="NormalWeb"/>
        <w:ind w:left="600"/>
      </w:pPr>
    </w:p>
    <w:p w14:paraId="71AB121D" w14:textId="00910752" w:rsidR="00EB7D83" w:rsidRDefault="00CB316B">
      <w:pPr>
        <w:pStyle w:val="NormalWeb"/>
        <w:ind w:left="600"/>
      </w:pPr>
      <w:r>
        <w:rPr>
          <w:noProof/>
        </w:rPr>
        <w:lastRenderedPageBreak/>
        <w:drawing>
          <wp:inline distT="0" distB="0" distL="0" distR="0" wp14:anchorId="56D296A6" wp14:editId="52C16621">
            <wp:extent cx="4337050" cy="5202922"/>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40645" cy="5207235"/>
                    </a:xfrm>
                    <a:prstGeom prst="rect">
                      <a:avLst/>
                    </a:prstGeom>
                  </pic:spPr>
                </pic:pic>
              </a:graphicData>
            </a:graphic>
          </wp:inline>
        </w:drawing>
      </w:r>
    </w:p>
    <w:p w14:paraId="4AE2CB6F" w14:textId="77777777" w:rsidR="00EB7D83" w:rsidRDefault="00EB7D83">
      <w:pPr>
        <w:pStyle w:val="NormalWeb"/>
        <w:ind w:left="600"/>
      </w:pPr>
    </w:p>
    <w:p w14:paraId="79A3468D" w14:textId="35F911B2" w:rsidR="00EB7D83" w:rsidRDefault="00C923B2">
      <w:pPr>
        <w:pStyle w:val="Heading1"/>
        <w:rPr>
          <w:rFonts w:eastAsia="Times New Roman"/>
        </w:rPr>
      </w:pPr>
      <w:r>
        <w:rPr>
          <w:rStyle w:val="nh-number"/>
        </w:rPr>
        <w:t xml:space="preserve">3. </w:t>
      </w:r>
      <w:r>
        <w:t>Associer votre numéro de téléphone portable à votre compte EU Login</w:t>
      </w:r>
    </w:p>
    <w:p w14:paraId="07D67847" w14:textId="2BF6107F" w:rsidR="00EB7D83" w:rsidRDefault="00C923B2">
      <w:pPr>
        <w:pStyle w:val="NormalWeb"/>
        <w:ind w:left="600"/>
      </w:pPr>
      <w:r>
        <w:t>Une fois votre compte EU Login créé, vous devrez y associer votre numéro de téléphone portable pour passer par l’authentification à deux facteurs.</w:t>
      </w:r>
    </w:p>
    <w:p w14:paraId="49D0E261" w14:textId="654883AA" w:rsidR="00EB7D83" w:rsidRDefault="00C923B2">
      <w:pPr>
        <w:pStyle w:val="NormalWeb"/>
        <w:ind w:left="600"/>
      </w:pPr>
      <w:r>
        <w:t xml:space="preserve">La procédure permettant d’associer un numéro de téléphone portable à votre compte EU Login est expliquée dans le tutoriel EU Login (en anglais) disponible à l’adresse suivante: </w:t>
      </w:r>
      <w:hyperlink r:id="rId15" w:history="1">
        <w:r>
          <w:rPr>
            <w:rStyle w:val="Hyperlink"/>
          </w:rPr>
          <w:t>https://webgate.ec.europa.eu/cas/manuals/EU_Login_Tutorial.pdf</w:t>
        </w:r>
      </w:hyperlink>
    </w:p>
    <w:p w14:paraId="6D8991FB" w14:textId="2E6966AA" w:rsidR="00EB7D83" w:rsidRDefault="00C923B2">
      <w:pPr>
        <w:pStyle w:val="NormalWeb"/>
        <w:ind w:left="600"/>
      </w:pPr>
      <w:r>
        <w:t>Pour commencer, veuillez consulter la section suivante du tutoriel EU Login:</w:t>
      </w:r>
    </w:p>
    <w:p w14:paraId="3CC8ED26" w14:textId="2F289DB3" w:rsidR="00EB7D83" w:rsidRDefault="00C923B2">
      <w:pPr>
        <w:numPr>
          <w:ilvl w:val="1"/>
          <w:numId w:val="1"/>
        </w:numPr>
        <w:spacing w:before="100" w:beforeAutospacing="1" w:after="100" w:afterAutospacing="1"/>
        <w:rPr>
          <w:rFonts w:eastAsia="Times New Roman"/>
        </w:rPr>
      </w:pPr>
      <w:r>
        <w:rPr>
          <w:rStyle w:val="markedcontent"/>
          <w:b/>
        </w:rPr>
        <w:lastRenderedPageBreak/>
        <w:t>page 24: Enregistrer un numéro de téléphone portable pour recevoir un SMS de vérification</w:t>
      </w:r>
    </w:p>
    <w:p w14:paraId="033E9570" w14:textId="68F0AE22" w:rsidR="00EB7D83" w:rsidRDefault="00C923B2">
      <w:pPr>
        <w:pStyle w:val="NormalWeb"/>
        <w:ind w:left="600"/>
      </w:pPr>
      <w:r>
        <w:rPr>
          <w:rStyle w:val="markedcontent"/>
        </w:rPr>
        <w:t>Veuillez noter que si vous avez procédé à l’enregistrement de votre numéro de téléphone portable, vous devriez déjà pouvoir vous authentifier par la méthode «Téléphone portable + SMS».</w:t>
      </w:r>
    </w:p>
    <w:p w14:paraId="12F799DF" w14:textId="391CD7C4" w:rsidR="00EB7D83" w:rsidRDefault="00CB316B">
      <w:pPr>
        <w:pStyle w:val="NormalWeb"/>
        <w:ind w:left="600"/>
      </w:pPr>
      <w:r>
        <w:rPr>
          <w:noProof/>
        </w:rPr>
        <w:drawing>
          <wp:inline distT="0" distB="0" distL="0" distR="0" wp14:anchorId="228E5ADD" wp14:editId="4A408FE6">
            <wp:extent cx="3981450" cy="41814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81450" cy="4181475"/>
                    </a:xfrm>
                    <a:prstGeom prst="rect">
                      <a:avLst/>
                    </a:prstGeom>
                  </pic:spPr>
                </pic:pic>
              </a:graphicData>
            </a:graphic>
          </wp:inline>
        </w:drawing>
      </w:r>
    </w:p>
    <w:p w14:paraId="3FD6AB9F" w14:textId="07CEE0EA" w:rsidR="00EB7D83" w:rsidRDefault="00C923B2">
      <w:pPr>
        <w:pStyle w:val="NormalWeb"/>
        <w:ind w:left="600"/>
      </w:pPr>
      <w:r>
        <w:rPr>
          <w:rStyle w:val="markedcontent"/>
        </w:rPr>
        <w:t xml:space="preserve">Toutefois, si vous </w:t>
      </w:r>
      <w:bookmarkStart w:id="0" w:name="_Hlk120260652"/>
      <w:r>
        <w:rPr>
          <w:rStyle w:val="markedcontent"/>
        </w:rPr>
        <w:t xml:space="preserve">souhaitez utiliser d’autres </w:t>
      </w:r>
      <w:bookmarkEnd w:id="0"/>
      <w:r>
        <w:rPr>
          <w:rStyle w:val="markedcontent"/>
        </w:rPr>
        <w:t>méthodes d’authentification, plus rapides que le SMS, veuillez consulter la section «Installer et initialiser l’application mobile EU Login»:</w:t>
      </w:r>
    </w:p>
    <w:p w14:paraId="2982D8AA" w14:textId="77777777" w:rsidR="00EB7D83" w:rsidRDefault="00EB7D83" w:rsidP="00932036">
      <w:pPr>
        <w:spacing w:before="100" w:beforeAutospacing="1" w:after="100" w:afterAutospacing="1"/>
        <w:ind w:left="1440"/>
        <w:rPr>
          <w:rFonts w:eastAsia="Times New Roman"/>
        </w:rPr>
      </w:pPr>
    </w:p>
    <w:p w14:paraId="1BBECCCC" w14:textId="4436B32B" w:rsidR="00EB7D83" w:rsidRDefault="00C923B2">
      <w:pPr>
        <w:numPr>
          <w:ilvl w:val="1"/>
          <w:numId w:val="2"/>
        </w:numPr>
        <w:spacing w:before="100" w:beforeAutospacing="1" w:after="100" w:afterAutospacing="1"/>
        <w:rPr>
          <w:rFonts w:eastAsia="Times New Roman"/>
        </w:rPr>
      </w:pPr>
      <w:r>
        <w:rPr>
          <w:rStyle w:val="markedcontent"/>
          <w:b/>
        </w:rPr>
        <w:t>page 20: Installer et initialiser l’application mobile EU Login</w:t>
      </w:r>
    </w:p>
    <w:p w14:paraId="01C37C30" w14:textId="77777777" w:rsidR="00EB7D83" w:rsidRDefault="00C923B2">
      <w:pPr>
        <w:pStyle w:val="NormalWeb"/>
        <w:ind w:left="600"/>
      </w:pPr>
      <w:r>
        <w:rPr>
          <w:rStyle w:val="markedcontent"/>
        </w:rPr>
        <w:t>Vous pourrez alors vous connecter au moyen de la notification push ou du code QR de l’application mobile EU Login.</w:t>
      </w:r>
    </w:p>
    <w:p w14:paraId="437FFB41" w14:textId="3908D50B" w:rsidR="00EB7D83" w:rsidRDefault="00CB316B">
      <w:pPr>
        <w:pStyle w:val="NormalWeb"/>
        <w:ind w:left="600"/>
      </w:pPr>
      <w:r>
        <w:rPr>
          <w:noProof/>
        </w:rPr>
        <w:lastRenderedPageBreak/>
        <w:drawing>
          <wp:inline distT="0" distB="0" distL="0" distR="0" wp14:anchorId="22E1D1B4" wp14:editId="4C369D8A">
            <wp:extent cx="3276600" cy="17621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76600" cy="1762125"/>
                    </a:xfrm>
                    <a:prstGeom prst="rect">
                      <a:avLst/>
                    </a:prstGeom>
                  </pic:spPr>
                </pic:pic>
              </a:graphicData>
            </a:graphic>
          </wp:inline>
        </w:drawing>
      </w:r>
    </w:p>
    <w:p w14:paraId="1FD6C0D6" w14:textId="2EF480F8" w:rsidR="00EB7D83" w:rsidRDefault="001C30AF">
      <w:pPr>
        <w:pStyle w:val="NormalWeb"/>
        <w:ind w:left="600"/>
      </w:pPr>
      <w:r>
        <w:rPr>
          <w:noProof/>
        </w:rPr>
        <w:drawing>
          <wp:inline distT="0" distB="0" distL="0" distR="0" wp14:anchorId="75046642" wp14:editId="44D3ECB6">
            <wp:extent cx="3714750" cy="26574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714750" cy="2657475"/>
                    </a:xfrm>
                    <a:prstGeom prst="rect">
                      <a:avLst/>
                    </a:prstGeom>
                  </pic:spPr>
                </pic:pic>
              </a:graphicData>
            </a:graphic>
          </wp:inline>
        </w:drawing>
      </w:r>
    </w:p>
    <w:p w14:paraId="0CB0A285" w14:textId="3F97EE4F" w:rsidR="00EB7D83" w:rsidRDefault="001C30AF">
      <w:pPr>
        <w:pStyle w:val="NormalWeb"/>
        <w:ind w:left="600"/>
      </w:pPr>
      <w:r>
        <w:rPr>
          <w:noProof/>
        </w:rPr>
        <w:drawing>
          <wp:inline distT="0" distB="0" distL="0" distR="0" wp14:anchorId="429E1CDF" wp14:editId="46C67E7D">
            <wp:extent cx="3676650" cy="27241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676650" cy="2724150"/>
                    </a:xfrm>
                    <a:prstGeom prst="rect">
                      <a:avLst/>
                    </a:prstGeom>
                  </pic:spPr>
                </pic:pic>
              </a:graphicData>
            </a:graphic>
          </wp:inline>
        </w:drawing>
      </w:r>
    </w:p>
    <w:p w14:paraId="6F577472" w14:textId="77777777" w:rsidR="00EB7D83" w:rsidRDefault="00EB7D83">
      <w:pPr>
        <w:pStyle w:val="Title1"/>
        <w:ind w:left="600"/>
      </w:pPr>
    </w:p>
    <w:p w14:paraId="091B3918" w14:textId="00514D14" w:rsidR="00EB7D83" w:rsidRDefault="00C923B2">
      <w:pPr>
        <w:pStyle w:val="Title1"/>
        <w:divId w:val="898059633"/>
      </w:pPr>
      <w:r>
        <w:t>Lien vers la configuration du compte EU Login</w:t>
      </w:r>
    </w:p>
    <w:p w14:paraId="746A14F9" w14:textId="01845BFB" w:rsidR="00EB7D83" w:rsidRDefault="00C923B2">
      <w:pPr>
        <w:pStyle w:val="NormalWeb"/>
        <w:ind w:left="600"/>
        <w:divId w:val="1073507667"/>
      </w:pPr>
      <w:r>
        <w:lastRenderedPageBreak/>
        <w:t xml:space="preserve">Vous pouvez cliquer à tout moment sur ce lien pour accéder à la configuration de votre compte EU Login: </w:t>
      </w:r>
      <w:hyperlink r:id="rId20" w:history="1">
        <w:r>
          <w:rPr>
            <w:rStyle w:val="Hyperlink"/>
          </w:rPr>
          <w:t>https://webgate.ec.europa.eu/cas/userdata/myAccount.cgi</w:t>
        </w:r>
      </w:hyperlink>
      <w:r>
        <w:t xml:space="preserve"> </w:t>
      </w:r>
    </w:p>
    <w:p w14:paraId="24B38AB2" w14:textId="4DC95A1D" w:rsidR="00EB7D83" w:rsidRDefault="00C923B2">
      <w:pPr>
        <w:pStyle w:val="NormalWeb"/>
        <w:ind w:left="600"/>
        <w:divId w:val="1073507667"/>
      </w:pPr>
      <w:r>
        <w:t>Le tutoriel relatif au compte EU Login (en anglais) est disponible à l’adresse suivante: </w:t>
      </w:r>
      <w:hyperlink r:id="rId21" w:history="1">
        <w:r>
          <w:rPr>
            <w:rStyle w:val="Hyperlink"/>
          </w:rPr>
          <w:t>https://webgate.ec.europa.eu/cas/manuals/EU_Login_Tutorial.pdf</w:t>
        </w:r>
      </w:hyperlink>
    </w:p>
    <w:p w14:paraId="16DC9A6B" w14:textId="77777777" w:rsidR="00EB7D83" w:rsidRDefault="00EB7D83">
      <w:pPr>
        <w:pStyle w:val="NormalWeb"/>
        <w:ind w:left="600"/>
      </w:pPr>
    </w:p>
    <w:p w14:paraId="281CC6DA" w14:textId="77777777" w:rsidR="00EB7D83" w:rsidRDefault="00EB7D83">
      <w:pPr>
        <w:pStyle w:val="NormalWeb"/>
        <w:ind w:left="600"/>
      </w:pPr>
    </w:p>
    <w:p w14:paraId="730553B6" w14:textId="77777777" w:rsidR="00EB7D83" w:rsidRDefault="00EB7D83">
      <w:pPr>
        <w:pStyle w:val="NormalWeb"/>
        <w:ind w:left="600"/>
      </w:pPr>
    </w:p>
    <w:sectPr w:rsidR="00EB7D83">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E9E18" w14:textId="77777777" w:rsidR="00C923B2" w:rsidRDefault="00C923B2" w:rsidP="00C923B2">
      <w:r>
        <w:separator/>
      </w:r>
    </w:p>
  </w:endnote>
  <w:endnote w:type="continuationSeparator" w:id="0">
    <w:p w14:paraId="3681DC75" w14:textId="77777777" w:rsidR="00C923B2" w:rsidRDefault="00C923B2" w:rsidP="00C92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5318E" w14:textId="77777777" w:rsidR="00C923B2" w:rsidRDefault="00C923B2" w:rsidP="00C923B2">
      <w:r>
        <w:separator/>
      </w:r>
    </w:p>
  </w:footnote>
  <w:footnote w:type="continuationSeparator" w:id="0">
    <w:p w14:paraId="42803913" w14:textId="77777777" w:rsidR="00C923B2" w:rsidRDefault="00C923B2" w:rsidP="00C923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E2BA3"/>
    <w:multiLevelType w:val="hybridMultilevel"/>
    <w:tmpl w:val="D7C2B8B8"/>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74861BA5"/>
    <w:multiLevelType w:val="multilevel"/>
    <w:tmpl w:val="7EC24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0A18E2"/>
    <w:multiLevelType w:val="multilevel"/>
    <w:tmpl w:val="8D8CB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A5EF9"/>
    <w:rsid w:val="001C30AF"/>
    <w:rsid w:val="00290481"/>
    <w:rsid w:val="002F1535"/>
    <w:rsid w:val="003F0313"/>
    <w:rsid w:val="005E0E76"/>
    <w:rsid w:val="00762C55"/>
    <w:rsid w:val="008A5EF9"/>
    <w:rsid w:val="008E43E0"/>
    <w:rsid w:val="0092604C"/>
    <w:rsid w:val="00932036"/>
    <w:rsid w:val="00A8510D"/>
    <w:rsid w:val="00AF3D0B"/>
    <w:rsid w:val="00B033AC"/>
    <w:rsid w:val="00B362DE"/>
    <w:rsid w:val="00C923B2"/>
    <w:rsid w:val="00CB316B"/>
    <w:rsid w:val="00D25C18"/>
    <w:rsid w:val="00D40077"/>
    <w:rsid w:val="00EB7D83"/>
    <w:rsid w:val="00FF247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B66A5D6"/>
  <w15:chartTrackingRefBased/>
  <w15:docId w15:val="{91D56A31-5EA7-4F48-8632-F30DB2447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nh-number">
    <w:name w:val="nh-number"/>
    <w:basedOn w:val="DefaultParagraphFont"/>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character" w:customStyle="1" w:styleId="confluence-embedded-file-wrapper">
    <w:name w:val="confluence-embedded-file-wrapper"/>
    <w:basedOn w:val="DefaultParagraphFont"/>
  </w:style>
  <w:style w:type="character" w:customStyle="1" w:styleId="markedcontent">
    <w:name w:val="markedcontent"/>
    <w:basedOn w:val="DefaultParagraphFont"/>
  </w:style>
  <w:style w:type="paragraph" w:customStyle="1" w:styleId="Title1">
    <w:name w:val="Title1"/>
    <w:basedOn w:val="Normal"/>
    <w:pPr>
      <w:spacing w:before="100" w:beforeAutospacing="1" w:after="100" w:afterAutospacing="1"/>
    </w:pPr>
  </w:style>
  <w:style w:type="character" w:customStyle="1" w:styleId="aui-icon">
    <w:name w:val="aui-icon"/>
    <w:basedOn w:val="DefaultParagraphFont"/>
  </w:style>
  <w:style w:type="character" w:styleId="CommentReference">
    <w:name w:val="annotation reference"/>
    <w:basedOn w:val="DefaultParagraphFont"/>
    <w:uiPriority w:val="99"/>
    <w:semiHidden/>
    <w:unhideWhenUsed/>
    <w:rsid w:val="008E43E0"/>
    <w:rPr>
      <w:sz w:val="16"/>
      <w:szCs w:val="16"/>
    </w:rPr>
  </w:style>
  <w:style w:type="paragraph" w:styleId="CommentText">
    <w:name w:val="annotation text"/>
    <w:basedOn w:val="Normal"/>
    <w:link w:val="CommentTextChar"/>
    <w:uiPriority w:val="99"/>
    <w:unhideWhenUsed/>
    <w:rsid w:val="008E43E0"/>
    <w:rPr>
      <w:sz w:val="20"/>
      <w:szCs w:val="20"/>
    </w:rPr>
  </w:style>
  <w:style w:type="character" w:customStyle="1" w:styleId="CommentTextChar">
    <w:name w:val="Comment Text Char"/>
    <w:basedOn w:val="DefaultParagraphFont"/>
    <w:link w:val="CommentText"/>
    <w:uiPriority w:val="99"/>
    <w:rsid w:val="008E43E0"/>
    <w:rPr>
      <w:rFonts w:eastAsiaTheme="minorEastAsia"/>
    </w:rPr>
  </w:style>
  <w:style w:type="paragraph" w:styleId="CommentSubject">
    <w:name w:val="annotation subject"/>
    <w:basedOn w:val="CommentText"/>
    <w:next w:val="CommentText"/>
    <w:link w:val="CommentSubjectChar"/>
    <w:uiPriority w:val="99"/>
    <w:semiHidden/>
    <w:unhideWhenUsed/>
    <w:rsid w:val="008E43E0"/>
    <w:rPr>
      <w:b/>
      <w:bCs/>
    </w:rPr>
  </w:style>
  <w:style w:type="character" w:customStyle="1" w:styleId="CommentSubjectChar">
    <w:name w:val="Comment Subject Char"/>
    <w:basedOn w:val="CommentTextChar"/>
    <w:link w:val="CommentSubject"/>
    <w:uiPriority w:val="99"/>
    <w:semiHidden/>
    <w:rsid w:val="008E43E0"/>
    <w:rPr>
      <w:rFonts w:eastAsiaTheme="minorEastAsia"/>
      <w:b/>
      <w:bCs/>
    </w:rPr>
  </w:style>
  <w:style w:type="paragraph" w:styleId="ListParagraph">
    <w:name w:val="List Paragraph"/>
    <w:basedOn w:val="Normal"/>
    <w:uiPriority w:val="34"/>
    <w:qFormat/>
    <w:rsid w:val="00FF247A"/>
    <w:pPr>
      <w:ind w:left="720"/>
    </w:pPr>
    <w:rPr>
      <w:rFonts w:ascii="Calibri" w:eastAsiaTheme="minorHAnsi" w:hAnsi="Calibri" w:cs="Calibri"/>
      <w:sz w:val="22"/>
      <w:szCs w:val="22"/>
    </w:rPr>
  </w:style>
  <w:style w:type="character" w:customStyle="1" w:styleId="UnresolvedMention1">
    <w:name w:val="Unresolved Mention1"/>
    <w:basedOn w:val="DefaultParagraphFont"/>
    <w:uiPriority w:val="99"/>
    <w:semiHidden/>
    <w:unhideWhenUsed/>
    <w:rsid w:val="00FF247A"/>
    <w:rPr>
      <w:color w:val="605E5C"/>
      <w:shd w:val="clear" w:color="auto" w:fill="E1DFDD"/>
    </w:rPr>
  </w:style>
  <w:style w:type="paragraph" w:styleId="BalloonText">
    <w:name w:val="Balloon Text"/>
    <w:basedOn w:val="Normal"/>
    <w:link w:val="BalloonTextChar"/>
    <w:uiPriority w:val="99"/>
    <w:semiHidden/>
    <w:unhideWhenUsed/>
    <w:rsid w:val="00D25C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C1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166235">
      <w:bodyDiv w:val="1"/>
      <w:marLeft w:val="0"/>
      <w:marRight w:val="0"/>
      <w:marTop w:val="0"/>
      <w:marBottom w:val="0"/>
      <w:divBdr>
        <w:top w:val="none" w:sz="0" w:space="0" w:color="auto"/>
        <w:left w:val="none" w:sz="0" w:space="0" w:color="auto"/>
        <w:bottom w:val="none" w:sz="0" w:space="0" w:color="auto"/>
        <w:right w:val="none" w:sz="0" w:space="0" w:color="auto"/>
      </w:divBdr>
    </w:div>
    <w:div w:id="898059633">
      <w:marLeft w:val="0"/>
      <w:marRight w:val="0"/>
      <w:marTop w:val="0"/>
      <w:marBottom w:val="0"/>
      <w:divBdr>
        <w:top w:val="none" w:sz="0" w:space="0" w:color="auto"/>
        <w:left w:val="none" w:sz="0" w:space="0" w:color="auto"/>
        <w:bottom w:val="none" w:sz="0" w:space="0" w:color="auto"/>
        <w:right w:val="none" w:sz="0" w:space="0" w:color="auto"/>
      </w:divBdr>
      <w:divsChild>
        <w:div w:id="1073507667">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tmp"/><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hyperlink" Target="https://webgate.ec.europa.eu/cas/manuals/EU_Login_Tutorial.pdf" TargetMode="External"/><Relationship Id="rId7" Type="http://schemas.openxmlformats.org/officeDocument/2006/relationships/hyperlink" Target="https://register.eci.ec.europa.eu/organisers" TargetMode="Externa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s://webgate.ec.europa.eu/cas/userdata/myAccount.cg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webgate.ec.europa.eu/cas/manuals/EU_Login_Tutorial.pdf"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463</Words>
  <Characters>3006</Characters>
  <Application>Microsoft Office Word</Application>
  <DocSecurity>4</DocSecurity>
  <Lines>81</Lines>
  <Paragraphs>30</Paragraphs>
  <ScaleCrop>false</ScaleCrop>
  <HeadingPairs>
    <vt:vector size="2" baseType="variant">
      <vt:variant>
        <vt:lpstr>Title</vt:lpstr>
      </vt:variant>
      <vt:variant>
        <vt:i4>1</vt:i4>
      </vt:variant>
    </vt:vector>
  </HeadingPairs>
  <TitlesOfParts>
    <vt:vector size="1" baseType="lpstr">
      <vt:lpstr>ECI-OCS Procedure to create and configure your EU Login account to launch an initiative</vt:lpstr>
    </vt:vector>
  </TitlesOfParts>
  <Company>European Commission</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ECI-OCS Procedure to create and configure your EU Login account to launch an initiative</dc:title>
  <dc:subject/>
  <dc:creator>BEZIRTZOGLOU Christos (SG)</dc:creator>
  <cp:keywords/>
  <dc:description/>
  <cp:lastModifiedBy>POPA Ana-Maria (DIGIT-EXT)</cp:lastModifiedBy>
  <cp:revision>2</cp:revision>
  <dcterms:created xsi:type="dcterms:W3CDTF">2022-12-14T14:40:00Z</dcterms:created>
  <dcterms:modified xsi:type="dcterms:W3CDTF">2022-12-14T14:40:00Z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2022-10-25T16:30:58Z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19375913-6341-4eb7-847a-3dcae51ab06a</vt:lpwstr>
  </property>
  <property fmtid="{D5CDD505-2E9C-101B-9397-08002B2CF9AE}" pid="8" name="MSIP_Label_6bd9ddd1-4d20-43f6-abfa-fc3c07406f94_ContentBits">
    <vt:lpwstr>0</vt:lpwstr>
  </property>
</Properties>
</file>